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7571" w14:textId="77777777" w:rsidR="001C2A6D" w:rsidRPr="00B8052D" w:rsidRDefault="00E538A2" w:rsidP="00E538A2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8052D">
        <w:rPr>
          <w:rFonts w:asciiTheme="majorHAnsi" w:hAnsiTheme="majorHAnsi"/>
          <w:b/>
          <w:sz w:val="24"/>
          <w:szCs w:val="24"/>
          <w:u w:val="single"/>
        </w:rPr>
        <w:t>Curriculum Vitae</w:t>
      </w:r>
    </w:p>
    <w:p w14:paraId="26E63EBA" w14:textId="77777777" w:rsidR="00E538A2" w:rsidRPr="00B8052D" w:rsidRDefault="00E538A2" w:rsidP="00E538A2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4B52432E" w14:textId="77777777" w:rsidR="00E538A2" w:rsidRPr="00B8052D" w:rsidRDefault="00E538A2" w:rsidP="00E538A2">
      <w:pPr>
        <w:rPr>
          <w:rFonts w:asciiTheme="majorHAnsi" w:hAnsiTheme="majorHAnsi"/>
          <w:sz w:val="24"/>
          <w:szCs w:val="24"/>
        </w:rPr>
      </w:pPr>
    </w:p>
    <w:p w14:paraId="2206B18C" w14:textId="2F008DEE" w:rsidR="00CE0D64" w:rsidRPr="00CE0D64" w:rsidRDefault="009345A8" w:rsidP="00CE0D64">
      <w:pPr>
        <w:pBdr>
          <w:bottom w:val="single" w:sz="4" w:space="1" w:color="auto"/>
        </w:pBdr>
        <w:jc w:val="center"/>
        <w:rPr>
          <w:rFonts w:asciiTheme="majorHAnsi" w:hAnsiTheme="majorHAnsi"/>
          <w:sz w:val="36"/>
          <w:szCs w:val="36"/>
        </w:rPr>
      </w:pPr>
      <w:r w:rsidRPr="00CE0D64">
        <w:rPr>
          <w:rFonts w:asciiTheme="majorHAnsi" w:hAnsiTheme="majorHAnsi"/>
          <w:b/>
          <w:bCs/>
          <w:sz w:val="36"/>
          <w:szCs w:val="36"/>
        </w:rPr>
        <w:t>Clifford V. Rossi</w:t>
      </w:r>
    </w:p>
    <w:p w14:paraId="0FF93706" w14:textId="77777777" w:rsidR="00CE0D64" w:rsidRDefault="00CE0D64" w:rsidP="00E538A2">
      <w:pPr>
        <w:pBdr>
          <w:bottom w:val="single" w:sz="4" w:space="1" w:color="auto"/>
        </w:pBdr>
        <w:rPr>
          <w:rFonts w:asciiTheme="majorHAnsi" w:hAnsiTheme="majorHAnsi"/>
          <w:sz w:val="24"/>
          <w:szCs w:val="24"/>
        </w:rPr>
      </w:pPr>
    </w:p>
    <w:p w14:paraId="2DE81ED8" w14:textId="1EA3E0F1" w:rsidR="00E538A2" w:rsidRDefault="00CE0D64" w:rsidP="00E538A2">
      <w:pPr>
        <w:pBdr>
          <w:bottom w:val="single" w:sz="4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5113 Brooks Road, Woolford, Maryland 21677</w:t>
      </w:r>
    </w:p>
    <w:p w14:paraId="621CD19D" w14:textId="20068160" w:rsidR="00CE0D64" w:rsidRDefault="00CE0D64" w:rsidP="00E538A2">
      <w:pPr>
        <w:pBdr>
          <w:bottom w:val="single" w:sz="4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Primary Phone: (301) 908-2536</w:t>
      </w:r>
    </w:p>
    <w:p w14:paraId="349DF959" w14:textId="1E9A405D" w:rsidR="00CE0D64" w:rsidRPr="00B8052D" w:rsidRDefault="00CE0D64" w:rsidP="00E538A2">
      <w:pPr>
        <w:pBdr>
          <w:bottom w:val="single" w:sz="4" w:space="1" w:color="auto"/>
        </w:pBd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Email: crossi@umd.edu</w:t>
      </w:r>
    </w:p>
    <w:p w14:paraId="3CF403DC" w14:textId="77777777" w:rsidR="00E538A2" w:rsidRPr="00B8052D" w:rsidRDefault="00E538A2" w:rsidP="00E538A2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HAnsi" w:eastAsia="Calibri" w:hAnsiTheme="majorHAnsi" w:cs="Times New Roman"/>
          <w:sz w:val="24"/>
          <w:szCs w:val="24"/>
        </w:rPr>
      </w:pPr>
    </w:p>
    <w:p w14:paraId="14245321" w14:textId="77777777" w:rsidR="00CE0D64" w:rsidRPr="00396791" w:rsidRDefault="00CE0D64" w:rsidP="00CE0D64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396791">
        <w:rPr>
          <w:rFonts w:asciiTheme="majorHAnsi" w:hAnsiTheme="majorHAnsi"/>
          <w:b/>
          <w:bCs/>
          <w:sz w:val="24"/>
          <w:szCs w:val="24"/>
        </w:rPr>
        <w:t>Educational Background</w:t>
      </w:r>
      <w:r w:rsidRPr="00396791">
        <w:rPr>
          <w:rFonts w:asciiTheme="majorHAnsi" w:hAnsiTheme="majorHAnsi"/>
          <w:sz w:val="24"/>
          <w:szCs w:val="24"/>
        </w:rPr>
        <w:t xml:space="preserve"> </w:t>
      </w:r>
      <w:r w:rsidRPr="00396791">
        <w:rPr>
          <w:rFonts w:asciiTheme="majorHAnsi" w:hAnsiTheme="majorHAnsi"/>
          <w:sz w:val="24"/>
          <w:szCs w:val="24"/>
        </w:rPr>
        <w:br/>
      </w:r>
    </w:p>
    <w:p w14:paraId="5095DC33" w14:textId="77777777" w:rsidR="00CE0D64" w:rsidRDefault="00CE0D64" w:rsidP="00CE0D64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  <w:r w:rsidRPr="008B4AC0">
        <w:rPr>
          <w:rFonts w:asciiTheme="majorHAnsi" w:hAnsiTheme="majorHAnsi" w:cs="TimesNewRomanPSMT"/>
          <w:sz w:val="24"/>
          <w:szCs w:val="24"/>
        </w:rPr>
        <w:t xml:space="preserve">Ph.D. - </w:t>
      </w:r>
      <w:r w:rsidRPr="008B4AC0">
        <w:rPr>
          <w:rFonts w:asciiTheme="majorHAnsi" w:hAnsiTheme="majorHAnsi" w:cs="TimesNewRomanPSMT"/>
          <w:i/>
          <w:iCs/>
          <w:sz w:val="24"/>
          <w:szCs w:val="24"/>
        </w:rPr>
        <w:t xml:space="preserve">Cornell University </w:t>
      </w:r>
      <w:r w:rsidRPr="008B4AC0">
        <w:rPr>
          <w:rFonts w:asciiTheme="majorHAnsi" w:hAnsiTheme="majorHAnsi" w:cs="TimesNewRomanPSMT"/>
          <w:sz w:val="24"/>
          <w:szCs w:val="24"/>
        </w:rPr>
        <w:t>1985</w:t>
      </w:r>
      <w:r>
        <w:rPr>
          <w:rFonts w:asciiTheme="majorHAnsi" w:hAnsiTheme="majorHAnsi" w:cs="TimesNewRomanPSMT"/>
          <w:sz w:val="24"/>
          <w:szCs w:val="24"/>
        </w:rPr>
        <w:t>, Financial Economics and Quantitative Methods</w:t>
      </w:r>
    </w:p>
    <w:p w14:paraId="202D67BF" w14:textId="77777777" w:rsidR="00CE0D64" w:rsidRPr="008B4AC0" w:rsidRDefault="00CE0D64" w:rsidP="00CE0D64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br/>
        <w:t xml:space="preserve">       </w:t>
      </w:r>
      <w:r>
        <w:rPr>
          <w:rFonts w:asciiTheme="majorHAnsi" w:hAnsiTheme="majorHAnsi" w:cs="TimesNewRomanPSMT"/>
          <w:sz w:val="24"/>
          <w:szCs w:val="24"/>
        </w:rPr>
        <w:tab/>
      </w:r>
      <w:r w:rsidRPr="00B8052D">
        <w:rPr>
          <w:rFonts w:asciiTheme="majorHAnsi" w:hAnsiTheme="majorHAnsi" w:cs="TimesNewRomanPSMT"/>
          <w:sz w:val="24"/>
          <w:szCs w:val="24"/>
        </w:rPr>
        <w:t xml:space="preserve">M.S. - </w:t>
      </w:r>
      <w:r w:rsidRPr="00B8052D">
        <w:rPr>
          <w:rFonts w:asciiTheme="majorHAnsi" w:hAnsiTheme="majorHAnsi" w:cs="TimesNewRomanPSMT"/>
          <w:i/>
          <w:iCs/>
          <w:sz w:val="24"/>
          <w:szCs w:val="24"/>
        </w:rPr>
        <w:t xml:space="preserve">Cornell University </w:t>
      </w:r>
      <w:r w:rsidRPr="00B8052D">
        <w:rPr>
          <w:rFonts w:asciiTheme="majorHAnsi" w:hAnsiTheme="majorHAnsi" w:cs="TimesNewRomanPSMT"/>
          <w:sz w:val="24"/>
          <w:szCs w:val="24"/>
        </w:rPr>
        <w:t>1983</w:t>
      </w:r>
      <w:r>
        <w:rPr>
          <w:rFonts w:asciiTheme="majorHAnsi" w:hAnsiTheme="majorHAnsi" w:cs="TimesNewRomanPSMT"/>
          <w:sz w:val="24"/>
          <w:szCs w:val="24"/>
        </w:rPr>
        <w:t>, Financial Economics</w:t>
      </w:r>
    </w:p>
    <w:p w14:paraId="08F1CE5A" w14:textId="77777777" w:rsidR="00CE0D64" w:rsidRPr="00B8052D" w:rsidRDefault="00CE0D64" w:rsidP="00CE0D64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 xml:space="preserve">                    </w:t>
      </w:r>
      <w:r w:rsidRPr="00B8052D">
        <w:rPr>
          <w:rFonts w:asciiTheme="majorHAnsi" w:hAnsiTheme="majorHAnsi" w:cs="TimesNewRomanPSMT"/>
          <w:sz w:val="24"/>
          <w:szCs w:val="24"/>
        </w:rPr>
        <w:br/>
        <w:t xml:space="preserve">              B.A. - </w:t>
      </w:r>
      <w:r w:rsidRPr="00B8052D">
        <w:rPr>
          <w:rFonts w:asciiTheme="majorHAnsi" w:hAnsiTheme="majorHAnsi" w:cs="TimesNewRomanPSMT"/>
          <w:i/>
          <w:iCs/>
          <w:sz w:val="24"/>
          <w:szCs w:val="24"/>
        </w:rPr>
        <w:t>University of Denver</w:t>
      </w:r>
      <w:r w:rsidRPr="00B8052D">
        <w:rPr>
          <w:rFonts w:asciiTheme="majorHAnsi" w:hAnsiTheme="majorHAnsi" w:cs="TimesNewRomanPSMT"/>
          <w:sz w:val="24"/>
          <w:szCs w:val="24"/>
        </w:rPr>
        <w:t xml:space="preserve"> (conferred) 1979</w:t>
      </w:r>
      <w:r>
        <w:rPr>
          <w:rFonts w:asciiTheme="majorHAnsi" w:hAnsiTheme="majorHAnsi" w:cs="TimesNewRomanPSMT"/>
          <w:sz w:val="24"/>
          <w:szCs w:val="24"/>
        </w:rPr>
        <w:t>, Economics and Public Affairs</w:t>
      </w:r>
    </w:p>
    <w:p w14:paraId="3F85FC81" w14:textId="340CF1BD" w:rsidR="00CE0D64" w:rsidRPr="00B8052D" w:rsidRDefault="00CE0D64" w:rsidP="00CE0D64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ab/>
      </w:r>
      <w:r w:rsidR="00C3572F">
        <w:rPr>
          <w:rFonts w:asciiTheme="majorHAnsi" w:hAnsiTheme="majorHAnsi" w:cs="TimesNewRomanPSMT"/>
          <w:sz w:val="24"/>
          <w:szCs w:val="24"/>
        </w:rPr>
        <w:t xml:space="preserve">           </w:t>
      </w:r>
      <w:proofErr w:type="gramStart"/>
      <w:r w:rsidRPr="00B8052D">
        <w:rPr>
          <w:rFonts w:asciiTheme="majorHAnsi" w:hAnsiTheme="majorHAnsi" w:cs="TimesNewRomanPSMT"/>
          <w:i/>
          <w:iCs/>
          <w:sz w:val="24"/>
          <w:szCs w:val="24"/>
        </w:rPr>
        <w:t>The George</w:t>
      </w:r>
      <w:proofErr w:type="gramEnd"/>
      <w:r w:rsidRPr="00B8052D">
        <w:rPr>
          <w:rFonts w:asciiTheme="majorHAnsi" w:hAnsiTheme="majorHAnsi" w:cs="TimesNewRomanPSMT"/>
          <w:i/>
          <w:iCs/>
          <w:sz w:val="24"/>
          <w:szCs w:val="24"/>
        </w:rPr>
        <w:t xml:space="preserve"> Washington University</w:t>
      </w:r>
      <w:r w:rsidRPr="00B8052D">
        <w:rPr>
          <w:rFonts w:asciiTheme="majorHAnsi" w:hAnsiTheme="majorHAnsi" w:cs="TimesNewRomanPSMT"/>
          <w:sz w:val="24"/>
          <w:szCs w:val="24"/>
        </w:rPr>
        <w:t xml:space="preserve"> (1975-1978)</w:t>
      </w:r>
    </w:p>
    <w:p w14:paraId="1234C858" w14:textId="77777777" w:rsidR="00CE0D64" w:rsidRPr="00B8052D" w:rsidRDefault="00CE0D64" w:rsidP="00CE0D64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04B9A880" w14:textId="77777777" w:rsidR="00E538A2" w:rsidRDefault="00E538A2" w:rsidP="005E1384">
      <w:pPr>
        <w:rPr>
          <w:rFonts w:asciiTheme="majorHAnsi" w:hAnsiTheme="majorHAnsi"/>
          <w:b/>
          <w:sz w:val="24"/>
          <w:szCs w:val="24"/>
        </w:rPr>
      </w:pPr>
    </w:p>
    <w:p w14:paraId="274AEB5A" w14:textId="77777777" w:rsidR="00A2267D" w:rsidRDefault="008B7704" w:rsidP="008B7704">
      <w:pPr>
        <w:widowControl w:val="0"/>
        <w:autoSpaceDE w:val="0"/>
        <w:autoSpaceDN w:val="0"/>
        <w:adjustRightInd w:val="0"/>
        <w:rPr>
          <w:rFonts w:asciiTheme="majorHAnsi" w:hAnsiTheme="majorHAnsi"/>
          <w:i/>
          <w:sz w:val="24"/>
          <w:szCs w:val="24"/>
        </w:rPr>
      </w:pPr>
      <w:r w:rsidRPr="008B7704">
        <w:rPr>
          <w:rFonts w:asciiTheme="majorHAnsi" w:hAnsiTheme="majorHAnsi"/>
          <w:b/>
          <w:bCs/>
          <w:iCs/>
          <w:sz w:val="24"/>
          <w:szCs w:val="24"/>
        </w:rPr>
        <w:t>Employment History</w:t>
      </w:r>
      <w:r w:rsidR="009E4496" w:rsidRPr="00B8052D">
        <w:rPr>
          <w:rFonts w:asciiTheme="majorHAnsi" w:hAnsiTheme="majorHAnsi"/>
          <w:i/>
          <w:sz w:val="24"/>
          <w:szCs w:val="24"/>
        </w:rPr>
        <w:t xml:space="preserve">   </w:t>
      </w:r>
    </w:p>
    <w:p w14:paraId="5894B3CA" w14:textId="77777777" w:rsidR="00A2267D" w:rsidRDefault="00A2267D" w:rsidP="008B7704">
      <w:pPr>
        <w:widowControl w:val="0"/>
        <w:autoSpaceDE w:val="0"/>
        <w:autoSpaceDN w:val="0"/>
        <w:adjustRightInd w:val="0"/>
        <w:rPr>
          <w:rFonts w:asciiTheme="majorHAnsi" w:hAnsiTheme="majorHAnsi"/>
          <w:i/>
          <w:sz w:val="24"/>
          <w:szCs w:val="24"/>
        </w:rPr>
      </w:pPr>
    </w:p>
    <w:p w14:paraId="74558119" w14:textId="0B0194D9" w:rsidR="008B7704" w:rsidRPr="00A2267D" w:rsidRDefault="008B7704" w:rsidP="008B7704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 w:rsidRPr="00A2267D">
        <w:rPr>
          <w:rFonts w:asciiTheme="majorHAnsi" w:hAnsiTheme="majorHAnsi" w:cs="TimesNewRomanPSMT"/>
          <w:sz w:val="24"/>
          <w:szCs w:val="24"/>
          <w:u w:val="single"/>
        </w:rPr>
        <w:t>U</w:t>
      </w:r>
      <w:r w:rsidR="009E4496" w:rsidRPr="00A2267D">
        <w:rPr>
          <w:rFonts w:asciiTheme="majorHAnsi" w:hAnsiTheme="majorHAnsi" w:cs="TimesNewRomanPSMT"/>
          <w:sz w:val="24"/>
          <w:szCs w:val="24"/>
          <w:u w:val="single"/>
        </w:rPr>
        <w:t>niversity of Maryland, Robert H. Smith School of Business, Finance Department</w:t>
      </w:r>
      <w:r w:rsidRPr="00A2267D">
        <w:rPr>
          <w:rFonts w:asciiTheme="majorHAnsi" w:hAnsiTheme="majorHAnsi" w:cs="TimesNewRomanPSMT"/>
          <w:sz w:val="24"/>
          <w:szCs w:val="24"/>
          <w:u w:val="single"/>
        </w:rPr>
        <w:t xml:space="preserve"> </w:t>
      </w:r>
    </w:p>
    <w:p w14:paraId="21625FA7" w14:textId="77777777" w:rsidR="008B7704" w:rsidRDefault="008B7704" w:rsidP="008B7704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64D52D32" w14:textId="75748F8B" w:rsidR="00F82833" w:rsidRDefault="00F82833" w:rsidP="008B7704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i/>
          <w:iCs/>
          <w:sz w:val="24"/>
          <w:szCs w:val="24"/>
        </w:rPr>
      </w:pPr>
      <w:r>
        <w:rPr>
          <w:rFonts w:asciiTheme="majorHAnsi" w:hAnsiTheme="majorHAnsi" w:cs="TimesNewRomanPSMT"/>
          <w:i/>
          <w:iCs/>
          <w:sz w:val="24"/>
          <w:szCs w:val="24"/>
        </w:rPr>
        <w:t xml:space="preserve">Director, Smith Enterprise Risk Consortium 6/1/2023 - </w:t>
      </w:r>
      <w:r w:rsidRPr="00F82833">
        <w:rPr>
          <w:rFonts w:asciiTheme="majorHAnsi" w:hAnsiTheme="majorHAnsi" w:cs="TimesNewRomanPSMT"/>
          <w:sz w:val="24"/>
          <w:szCs w:val="24"/>
        </w:rPr>
        <w:t>present</w:t>
      </w:r>
    </w:p>
    <w:p w14:paraId="14AB9D6B" w14:textId="4BDC7DDC" w:rsidR="001C2A6D" w:rsidRDefault="008B7704" w:rsidP="008B7704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8B7704">
        <w:rPr>
          <w:rFonts w:asciiTheme="majorHAnsi" w:hAnsiTheme="majorHAnsi" w:cs="TimesNewRomanPSMT"/>
          <w:i/>
          <w:iCs/>
          <w:sz w:val="24"/>
          <w:szCs w:val="24"/>
        </w:rPr>
        <w:t>Professor-of-the-Practice and Executive</w:t>
      </w:r>
      <w:r w:rsidR="00D36F44">
        <w:rPr>
          <w:rFonts w:asciiTheme="majorHAnsi" w:hAnsiTheme="majorHAnsi" w:cs="TimesNewRomanPSMT"/>
          <w:i/>
          <w:iCs/>
          <w:sz w:val="24"/>
          <w:szCs w:val="24"/>
        </w:rPr>
        <w:t>-</w:t>
      </w:r>
      <w:r w:rsidRPr="008B7704">
        <w:rPr>
          <w:rFonts w:asciiTheme="majorHAnsi" w:hAnsiTheme="majorHAnsi" w:cs="TimesNewRomanPSMT"/>
          <w:i/>
          <w:iCs/>
          <w:sz w:val="24"/>
          <w:szCs w:val="24"/>
        </w:rPr>
        <w:t>In-Residence</w:t>
      </w:r>
      <w:r w:rsidR="00CC6268">
        <w:rPr>
          <w:rFonts w:asciiTheme="majorHAnsi" w:hAnsiTheme="majorHAnsi" w:cs="TimesNewRomanPSMT"/>
          <w:sz w:val="24"/>
          <w:szCs w:val="24"/>
        </w:rPr>
        <w:t xml:space="preserve"> </w:t>
      </w:r>
      <w:r w:rsidR="00745552">
        <w:rPr>
          <w:rFonts w:asciiTheme="majorHAnsi" w:hAnsiTheme="majorHAnsi" w:cs="TimesNewRomanPSMT"/>
          <w:sz w:val="24"/>
          <w:szCs w:val="24"/>
        </w:rPr>
        <w:t>7/2009</w:t>
      </w:r>
      <w:r>
        <w:rPr>
          <w:rFonts w:asciiTheme="majorHAnsi" w:hAnsiTheme="majorHAnsi" w:cs="TimesNewRomanPSMT"/>
          <w:sz w:val="24"/>
          <w:szCs w:val="24"/>
        </w:rPr>
        <w:t xml:space="preserve"> – present</w:t>
      </w:r>
    </w:p>
    <w:p w14:paraId="3FA3E81C" w14:textId="5F56629D" w:rsidR="008B7704" w:rsidRDefault="00745552" w:rsidP="008B7704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Managing Director, Center for Financial Policy, 7/2009 – 8/2011</w:t>
      </w:r>
    </w:p>
    <w:p w14:paraId="16C2D66F" w14:textId="77777777" w:rsidR="002D3119" w:rsidRDefault="002D3119" w:rsidP="00C3572F">
      <w:pPr>
        <w:rPr>
          <w:rFonts w:asciiTheme="majorHAnsi" w:hAnsiTheme="majorHAnsi"/>
          <w:b/>
          <w:bCs/>
          <w:i/>
          <w:sz w:val="24"/>
          <w:szCs w:val="24"/>
        </w:rPr>
      </w:pPr>
    </w:p>
    <w:p w14:paraId="4E9C98BA" w14:textId="660929E3" w:rsidR="00C3572F" w:rsidRDefault="00C3572F" w:rsidP="00C3572F">
      <w:pPr>
        <w:rPr>
          <w:rFonts w:asciiTheme="majorHAnsi" w:hAnsiTheme="majorHAnsi"/>
          <w:iCs/>
          <w:sz w:val="24"/>
          <w:szCs w:val="24"/>
        </w:rPr>
      </w:pPr>
      <w:r w:rsidRPr="00C3572F">
        <w:rPr>
          <w:rFonts w:asciiTheme="majorHAnsi" w:hAnsiTheme="majorHAnsi"/>
          <w:iCs/>
          <w:sz w:val="24"/>
          <w:szCs w:val="24"/>
        </w:rPr>
        <w:t>Highlights</w:t>
      </w:r>
    </w:p>
    <w:p w14:paraId="69B9DFC9" w14:textId="77777777" w:rsidR="00C3572F" w:rsidRDefault="00C3572F" w:rsidP="00C3572F">
      <w:pPr>
        <w:rPr>
          <w:rFonts w:asciiTheme="majorHAnsi" w:hAnsiTheme="majorHAnsi"/>
          <w:iCs/>
          <w:sz w:val="24"/>
          <w:szCs w:val="24"/>
        </w:rPr>
      </w:pPr>
    </w:p>
    <w:p w14:paraId="47051200" w14:textId="55D2939C" w:rsidR="00C3572F" w:rsidRDefault="00C3572F" w:rsidP="00C3572F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Founded Smith Enterprise Risk Consortium (SERC) and served as Director</w:t>
      </w:r>
    </w:p>
    <w:p w14:paraId="115E2123" w14:textId="4F1BD0FE" w:rsidR="00C3572F" w:rsidRDefault="00A80003" w:rsidP="00C3572F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Established Advisory Council with </w:t>
      </w:r>
      <w:r w:rsidR="00C3572F">
        <w:rPr>
          <w:rFonts w:asciiTheme="majorHAnsi" w:hAnsiTheme="majorHAnsi"/>
          <w:iCs/>
          <w:sz w:val="24"/>
          <w:szCs w:val="24"/>
        </w:rPr>
        <w:t>25</w:t>
      </w:r>
      <w:r>
        <w:rPr>
          <w:rFonts w:asciiTheme="majorHAnsi" w:hAnsiTheme="majorHAnsi"/>
          <w:iCs/>
          <w:sz w:val="24"/>
          <w:szCs w:val="24"/>
        </w:rPr>
        <w:t>+</w:t>
      </w:r>
      <w:r w:rsidR="00C3572F">
        <w:rPr>
          <w:rFonts w:asciiTheme="majorHAnsi" w:hAnsiTheme="majorHAnsi"/>
          <w:iCs/>
          <w:sz w:val="24"/>
          <w:szCs w:val="24"/>
        </w:rPr>
        <w:t xml:space="preserve"> C-level members of Fortune 500 or equivalent companies and organizations</w:t>
      </w:r>
      <w:r>
        <w:rPr>
          <w:rFonts w:asciiTheme="majorHAnsi" w:hAnsiTheme="majorHAnsi"/>
          <w:iCs/>
          <w:sz w:val="24"/>
          <w:szCs w:val="24"/>
        </w:rPr>
        <w:t xml:space="preserve"> including Google, Citigroup, Northrop Grumman, Freddie Mac, Moody’s, AstraZeneca, Travelers Insurance, Sallie Mae, among others</w:t>
      </w:r>
    </w:p>
    <w:p w14:paraId="1766FF75" w14:textId="1120CA65" w:rsidR="00C3572F" w:rsidRDefault="00C3572F" w:rsidP="00C3572F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Established revenue generation model including paid memberships in large part from personal industry connections</w:t>
      </w:r>
    </w:p>
    <w:p w14:paraId="318A357B" w14:textId="156D6B4F" w:rsidR="00C3572F" w:rsidRDefault="00C3572F" w:rsidP="00C3572F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Generated multiple paid research projects, personally conducted on behalf of SERC from such organizations as the Pew Charitable Trust, American Bankers Association and Boeing Employees Credit Union</w:t>
      </w:r>
    </w:p>
    <w:p w14:paraId="0B472826" w14:textId="1C3E575F" w:rsidR="00C3572F" w:rsidRDefault="00C3572F" w:rsidP="00C3572F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Developed and participated in the SERC Risk Summit and Risk </w:t>
      </w:r>
      <w:proofErr w:type="gramStart"/>
      <w:r>
        <w:rPr>
          <w:rFonts w:asciiTheme="majorHAnsi" w:hAnsiTheme="majorHAnsi"/>
          <w:iCs/>
          <w:sz w:val="24"/>
          <w:szCs w:val="24"/>
        </w:rPr>
        <w:t xml:space="preserve">Academy </w:t>
      </w:r>
      <w:r w:rsidR="00FB6D71">
        <w:rPr>
          <w:rFonts w:asciiTheme="majorHAnsi" w:hAnsiTheme="majorHAnsi"/>
          <w:iCs/>
          <w:sz w:val="24"/>
          <w:szCs w:val="24"/>
        </w:rPr>
        <w:t xml:space="preserve"> (</w:t>
      </w:r>
      <w:proofErr w:type="gramEnd"/>
      <w:r w:rsidR="00FB6D71">
        <w:rPr>
          <w:rFonts w:asciiTheme="majorHAnsi" w:hAnsiTheme="majorHAnsi"/>
          <w:iCs/>
          <w:sz w:val="24"/>
          <w:szCs w:val="24"/>
        </w:rPr>
        <w:t xml:space="preserve">fee-based) </w:t>
      </w:r>
      <w:r>
        <w:rPr>
          <w:rFonts w:asciiTheme="majorHAnsi" w:hAnsiTheme="majorHAnsi"/>
          <w:iCs/>
          <w:sz w:val="24"/>
          <w:szCs w:val="24"/>
        </w:rPr>
        <w:t>programs</w:t>
      </w:r>
    </w:p>
    <w:p w14:paraId="1298F108" w14:textId="0CD30878" w:rsidR="00FB6D71" w:rsidRDefault="00FB6D71" w:rsidP="00C3572F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Established interdisciplinary SERC Academic Fellows program from departments in Smith and in other colleges (CMNS and School of Pharmacy)</w:t>
      </w:r>
    </w:p>
    <w:p w14:paraId="14835ED4" w14:textId="792930C2" w:rsidR="00C3572F" w:rsidRDefault="00C3572F" w:rsidP="00C3572F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Developed and participated in several SERC Executive Education training programs including AI and Risk, and Climate Finance and Risk</w:t>
      </w:r>
    </w:p>
    <w:p w14:paraId="11F07E3D" w14:textId="4E968B3B" w:rsidR="00C3572F" w:rsidRDefault="00C3572F" w:rsidP="00C3572F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lastRenderedPageBreak/>
        <w:t>Created and contributed to SERC Risk Matters column for risk practitioners</w:t>
      </w:r>
    </w:p>
    <w:p w14:paraId="4F6AFBCD" w14:textId="6C0C5CF7" w:rsidR="00FB6D71" w:rsidRDefault="00FB6D71" w:rsidP="00C3572F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Created and delivered SERC AI Risk webinar as well as an ABA AI and Risk webinar</w:t>
      </w:r>
    </w:p>
    <w:p w14:paraId="3869DB18" w14:textId="7675B922" w:rsidR="00C3572F" w:rsidRDefault="00C3572F" w:rsidP="00C3572F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Created and contributed to SERC Risk Leadership Webinar Series for risk practitioners</w:t>
      </w:r>
    </w:p>
    <w:p w14:paraId="127F7DD1" w14:textId="3C9168A1" w:rsidR="003267E2" w:rsidRDefault="003267E2" w:rsidP="00C3572F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Created and deployed several industry tools including:</w:t>
      </w:r>
    </w:p>
    <w:p w14:paraId="70F94BD4" w14:textId="27127643" w:rsidR="003267E2" w:rsidRDefault="003267E2" w:rsidP="003267E2">
      <w:pPr>
        <w:pStyle w:val="ListParagraph"/>
        <w:numPr>
          <w:ilvl w:val="2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SERC Mortgage Natural Hazard Analyzer</w:t>
      </w:r>
    </w:p>
    <w:p w14:paraId="2F2723EA" w14:textId="105F728B" w:rsidR="003267E2" w:rsidRDefault="003267E2" w:rsidP="003267E2">
      <w:pPr>
        <w:pStyle w:val="ListParagraph"/>
        <w:numPr>
          <w:ilvl w:val="2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SERC Mortgage Credit Risk Index</w:t>
      </w:r>
      <w:r w:rsidR="00FB6D71">
        <w:rPr>
          <w:rFonts w:asciiTheme="majorHAnsi" w:hAnsiTheme="majorHAnsi"/>
          <w:iCs/>
          <w:sz w:val="24"/>
          <w:szCs w:val="24"/>
        </w:rPr>
        <w:t xml:space="preserve"> (hosted on Mortgage Bankers Association website)</w:t>
      </w:r>
    </w:p>
    <w:p w14:paraId="64C13C31" w14:textId="118C3225" w:rsidR="003267E2" w:rsidRDefault="003267E2" w:rsidP="003267E2">
      <w:pPr>
        <w:pStyle w:val="ListParagraph"/>
        <w:numPr>
          <w:ilvl w:val="2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SERC Bank Branch and Secured Asset Natural Hazard Analyzer</w:t>
      </w:r>
    </w:p>
    <w:p w14:paraId="5555A137" w14:textId="2E154A02" w:rsidR="003267E2" w:rsidRDefault="003267E2" w:rsidP="003267E2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Created and participated in the Mortgage Risk Summit for C-level risk leaders of mortgage specializing companies now in its 10</w:t>
      </w:r>
      <w:r w:rsidRPr="003267E2">
        <w:rPr>
          <w:rFonts w:asciiTheme="majorHAnsi" w:hAnsiTheme="majorHAnsi"/>
          <w:iCs/>
          <w:sz w:val="24"/>
          <w:szCs w:val="24"/>
          <w:vertAlign w:val="superscript"/>
        </w:rPr>
        <w:t>th</w:t>
      </w:r>
      <w:r>
        <w:rPr>
          <w:rFonts w:asciiTheme="majorHAnsi" w:hAnsiTheme="majorHAnsi"/>
          <w:iCs/>
          <w:sz w:val="24"/>
          <w:szCs w:val="24"/>
        </w:rPr>
        <w:t xml:space="preserve"> year</w:t>
      </w:r>
    </w:p>
    <w:p w14:paraId="60AF9AFC" w14:textId="29E653A1" w:rsidR="003267E2" w:rsidRDefault="003267E2" w:rsidP="003267E2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Created a SERC Risk Analyst program for graduate and undergraduate students to directly participate in SERC analytics projects</w:t>
      </w:r>
    </w:p>
    <w:p w14:paraId="7D3467DF" w14:textId="1D317E61" w:rsidR="003267E2" w:rsidRDefault="003267E2" w:rsidP="003267E2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Oversaw and managed the implementation of the Center for Financial Policy and associated programming</w:t>
      </w:r>
      <w:r w:rsidR="000E4995">
        <w:rPr>
          <w:rFonts w:asciiTheme="majorHAnsi" w:hAnsiTheme="majorHAnsi"/>
          <w:iCs/>
          <w:sz w:val="24"/>
          <w:szCs w:val="24"/>
        </w:rPr>
        <w:t xml:space="preserve"> in its first two years</w:t>
      </w:r>
    </w:p>
    <w:p w14:paraId="3051EC5E" w14:textId="756F68B9" w:rsidR="003267E2" w:rsidRDefault="003267E2" w:rsidP="003267E2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Led the effort to establish an industry CFP Advisory Council</w:t>
      </w:r>
    </w:p>
    <w:p w14:paraId="220FB37F" w14:textId="59E2A717" w:rsidR="003267E2" w:rsidRDefault="003267E2" w:rsidP="003267E2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Created and participated in several large (100+) CFP conferences on GSE reform and systemic risk</w:t>
      </w:r>
    </w:p>
    <w:p w14:paraId="5249AA9E" w14:textId="2515DAC4" w:rsidR="003267E2" w:rsidRDefault="003267E2" w:rsidP="003267E2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Significant faculty contributor to numerous Executive Education programs</w:t>
      </w:r>
    </w:p>
    <w:p w14:paraId="1FF8E495" w14:textId="436673D1" w:rsidR="003267E2" w:rsidRDefault="003267E2" w:rsidP="003267E2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De</w:t>
      </w:r>
      <w:r w:rsidR="00534CF4">
        <w:rPr>
          <w:rFonts w:asciiTheme="majorHAnsi" w:hAnsiTheme="majorHAnsi"/>
          <w:iCs/>
          <w:sz w:val="24"/>
          <w:szCs w:val="24"/>
        </w:rPr>
        <w:t>sign</w:t>
      </w:r>
      <w:r>
        <w:rPr>
          <w:rFonts w:asciiTheme="majorHAnsi" w:hAnsiTheme="majorHAnsi"/>
          <w:iCs/>
          <w:sz w:val="24"/>
          <w:szCs w:val="24"/>
        </w:rPr>
        <w:t xml:space="preserve">ed </w:t>
      </w:r>
      <w:r w:rsidR="00534CF4">
        <w:rPr>
          <w:rFonts w:asciiTheme="majorHAnsi" w:hAnsiTheme="majorHAnsi"/>
          <w:iCs/>
          <w:sz w:val="24"/>
          <w:szCs w:val="24"/>
        </w:rPr>
        <w:t xml:space="preserve">and developed a </w:t>
      </w:r>
      <w:r>
        <w:rPr>
          <w:rFonts w:asciiTheme="majorHAnsi" w:hAnsiTheme="majorHAnsi"/>
          <w:iCs/>
          <w:sz w:val="24"/>
          <w:szCs w:val="24"/>
        </w:rPr>
        <w:t>partnership with American Bankers Association for annual training in risk management for their members that led to the ABA’s Certified Enterprise Risk Professional (CERP) program that I helped design</w:t>
      </w:r>
    </w:p>
    <w:p w14:paraId="733BC236" w14:textId="6164856E" w:rsidR="00534CF4" w:rsidRDefault="00534CF4" w:rsidP="003267E2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Designed and developed a partnership with the Mortgage Bankers Association for an annual Advanced Risk Management training program that I delivered.</w:t>
      </w:r>
    </w:p>
    <w:p w14:paraId="3C37EDFC" w14:textId="3623F709" w:rsidR="00534CF4" w:rsidRDefault="00534CF4" w:rsidP="003267E2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Designed and delivered a risk management training program for the Reserve Bank of India for C-level risk professionals of Indian banks</w:t>
      </w:r>
    </w:p>
    <w:p w14:paraId="640D1236" w14:textId="5ABA23F0" w:rsidR="00534CF4" w:rsidRDefault="00534CF4" w:rsidP="003267E2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Designed and delivered a risk management program for the China Development Bank</w:t>
      </w:r>
    </w:p>
    <w:p w14:paraId="7D4C50BF" w14:textId="45A1A1CE" w:rsidR="00FB6D71" w:rsidRDefault="00FB6D71" w:rsidP="003267E2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Designed and participated in SERC Climate Finance &amp; Risk online training program as well as custom training for Pew Charitable Trust</w:t>
      </w:r>
    </w:p>
    <w:p w14:paraId="6A2C705F" w14:textId="78350C7A" w:rsidR="00534CF4" w:rsidRDefault="00534CF4" w:rsidP="00534CF4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Secured two funded research grants totaling nearly $500,000 from the FDA’s Office of Pharmaceutical Quality on the risks and economics of leveraging advanced manufacturing technology for reshoring pharmaceutical production in the US</w:t>
      </w:r>
      <w:r w:rsidR="00F61DCD">
        <w:rPr>
          <w:rFonts w:asciiTheme="majorHAnsi" w:hAnsiTheme="majorHAnsi"/>
          <w:iCs/>
          <w:sz w:val="24"/>
          <w:szCs w:val="24"/>
        </w:rPr>
        <w:t xml:space="preserve"> and established the OPQ’s first Enterprise Risk Management function and capabilities</w:t>
      </w:r>
    </w:p>
    <w:p w14:paraId="39D9A20B" w14:textId="77777777" w:rsidR="00534CF4" w:rsidRPr="00534CF4" w:rsidRDefault="00A2267D" w:rsidP="00534CF4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r w:rsidRPr="00534CF4">
        <w:rPr>
          <w:rFonts w:asciiTheme="majorHAnsi" w:hAnsiTheme="majorHAnsi"/>
          <w:iCs/>
          <w:sz w:val="24"/>
          <w:szCs w:val="24"/>
        </w:rPr>
        <w:t>Special Government Employee, Member, FDA Advisory Committee, Pharmaceutical Science and Clinical Pharmacology, 2022-</w:t>
      </w:r>
      <w:r w:rsidR="00F82833" w:rsidRPr="00534CF4">
        <w:rPr>
          <w:rFonts w:asciiTheme="majorHAnsi" w:hAnsiTheme="majorHAnsi"/>
          <w:iCs/>
          <w:sz w:val="24"/>
          <w:szCs w:val="24"/>
        </w:rPr>
        <w:t>2023</w:t>
      </w:r>
    </w:p>
    <w:p w14:paraId="44600BF2" w14:textId="77777777" w:rsidR="00534CF4" w:rsidRDefault="00534CF4" w:rsidP="00534CF4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proofErr w:type="gramStart"/>
      <w:r>
        <w:rPr>
          <w:rFonts w:asciiTheme="majorHAnsi" w:hAnsiTheme="majorHAnsi"/>
          <w:iCs/>
          <w:sz w:val="24"/>
          <w:szCs w:val="24"/>
        </w:rPr>
        <w:t>Interviewed</w:t>
      </w:r>
      <w:proofErr w:type="gramEnd"/>
      <w:r>
        <w:rPr>
          <w:rFonts w:asciiTheme="majorHAnsi" w:hAnsiTheme="majorHAnsi"/>
          <w:iCs/>
          <w:sz w:val="24"/>
          <w:szCs w:val="24"/>
        </w:rPr>
        <w:t xml:space="preserve"> hundreds of times for various newspapers, magazines, TV and radio programs including CNN Situation Room, C-SPAN Washington Journal, ABC News, Fox News, Wall Street Journal, Financial Times, Washington Post, USA Today, Baltimore Sun and others</w:t>
      </w:r>
    </w:p>
    <w:p w14:paraId="53F36BFF" w14:textId="5C77902E" w:rsidR="00F61DCD" w:rsidRDefault="00534CF4" w:rsidP="00534CF4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lastRenderedPageBreak/>
        <w:t xml:space="preserve">Written dozens of </w:t>
      </w:r>
      <w:r w:rsidR="00AC6BEE">
        <w:rPr>
          <w:rFonts w:asciiTheme="majorHAnsi" w:hAnsiTheme="majorHAnsi"/>
          <w:iCs/>
          <w:sz w:val="24"/>
          <w:szCs w:val="24"/>
        </w:rPr>
        <w:t>op-eds</w:t>
      </w:r>
      <w:r>
        <w:rPr>
          <w:rFonts w:asciiTheme="majorHAnsi" w:hAnsiTheme="majorHAnsi"/>
          <w:iCs/>
          <w:sz w:val="24"/>
          <w:szCs w:val="24"/>
        </w:rPr>
        <w:t xml:space="preserve"> for high profile outlets on topical risk and financial policy issues over the years including The Hill, American Banker, </w:t>
      </w:r>
      <w:proofErr w:type="spellStart"/>
      <w:r>
        <w:rPr>
          <w:rFonts w:asciiTheme="majorHAnsi" w:hAnsiTheme="majorHAnsi"/>
          <w:iCs/>
          <w:sz w:val="24"/>
          <w:szCs w:val="24"/>
        </w:rPr>
        <w:t>HousingWire</w:t>
      </w:r>
      <w:proofErr w:type="spellEnd"/>
      <w:r>
        <w:rPr>
          <w:rFonts w:asciiTheme="majorHAnsi" w:hAnsiTheme="majorHAnsi"/>
          <w:iCs/>
          <w:sz w:val="24"/>
          <w:szCs w:val="24"/>
        </w:rPr>
        <w:t>, Baltimore Sun</w:t>
      </w:r>
      <w:r w:rsidR="00F61DCD">
        <w:rPr>
          <w:rFonts w:asciiTheme="majorHAnsi" w:hAnsiTheme="majorHAnsi"/>
          <w:iCs/>
          <w:sz w:val="24"/>
          <w:szCs w:val="24"/>
        </w:rPr>
        <w:t xml:space="preserve"> and others</w:t>
      </w:r>
    </w:p>
    <w:p w14:paraId="46F3EC7A" w14:textId="0F3EA86E" w:rsidR="00F61DCD" w:rsidRDefault="00617C8E" w:rsidP="00534CF4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Created and contributed to</w:t>
      </w:r>
      <w:r w:rsidR="00F61DCD">
        <w:rPr>
          <w:rFonts w:asciiTheme="majorHAnsi" w:hAnsiTheme="majorHAnsi"/>
          <w:iCs/>
          <w:sz w:val="24"/>
          <w:szCs w:val="24"/>
        </w:rPr>
        <w:t xml:space="preserve"> regular weekly and monthly columns over the years in several </w:t>
      </w:r>
      <w:r w:rsidR="00AC6BEE">
        <w:rPr>
          <w:rFonts w:asciiTheme="majorHAnsi" w:hAnsiTheme="majorHAnsi"/>
          <w:iCs/>
          <w:sz w:val="24"/>
          <w:szCs w:val="24"/>
        </w:rPr>
        <w:t>high-profile</w:t>
      </w:r>
      <w:r w:rsidR="00F61DCD">
        <w:rPr>
          <w:rFonts w:asciiTheme="majorHAnsi" w:hAnsiTheme="majorHAnsi"/>
          <w:iCs/>
          <w:sz w:val="24"/>
          <w:szCs w:val="24"/>
        </w:rPr>
        <w:t xml:space="preserve"> publications:</w:t>
      </w:r>
    </w:p>
    <w:p w14:paraId="6A9C2ABD" w14:textId="77777777" w:rsidR="00F61DCD" w:rsidRDefault="00F61DCD" w:rsidP="00F61DCD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American Banker Risk Dr. column</w:t>
      </w:r>
    </w:p>
    <w:p w14:paraId="490C03E1" w14:textId="77777777" w:rsidR="00F61DCD" w:rsidRDefault="00F61DCD" w:rsidP="00F61DCD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proofErr w:type="spellStart"/>
      <w:r>
        <w:rPr>
          <w:rFonts w:asciiTheme="majorHAnsi" w:hAnsiTheme="majorHAnsi"/>
          <w:iCs/>
          <w:sz w:val="24"/>
          <w:szCs w:val="24"/>
        </w:rPr>
        <w:t>HousingWire</w:t>
      </w:r>
      <w:proofErr w:type="spellEnd"/>
    </w:p>
    <w:p w14:paraId="02BEA6D0" w14:textId="68891DF3" w:rsidR="00F61DCD" w:rsidRDefault="00F61DCD" w:rsidP="00F61DCD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Global Association of Risk Professional (GARP) Chief Risk Officer Outlook</w:t>
      </w:r>
    </w:p>
    <w:p w14:paraId="0E68D950" w14:textId="77777777" w:rsidR="00F61DCD" w:rsidRDefault="00F61DCD" w:rsidP="00F61DCD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Conducted published research on </w:t>
      </w:r>
      <w:proofErr w:type="gramStart"/>
      <w:r>
        <w:rPr>
          <w:rFonts w:asciiTheme="majorHAnsi" w:hAnsiTheme="majorHAnsi"/>
          <w:iCs/>
          <w:sz w:val="24"/>
          <w:szCs w:val="24"/>
        </w:rPr>
        <w:t>a number of</w:t>
      </w:r>
      <w:proofErr w:type="gramEnd"/>
      <w:r>
        <w:rPr>
          <w:rFonts w:asciiTheme="majorHAnsi" w:hAnsiTheme="majorHAnsi"/>
          <w:iCs/>
          <w:sz w:val="24"/>
          <w:szCs w:val="24"/>
        </w:rPr>
        <w:t xml:space="preserve"> risk management topics on financial risk management, pharmaceutical risk management, and climate risk management (see list in a later section of this document)</w:t>
      </w:r>
    </w:p>
    <w:p w14:paraId="7B657333" w14:textId="19399CA9" w:rsidR="00F61DCD" w:rsidRDefault="00F61DCD" w:rsidP="00F61DCD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Regularly taught in MS Finance, </w:t>
      </w:r>
      <w:r w:rsidR="00AC6BEE">
        <w:rPr>
          <w:rFonts w:asciiTheme="majorHAnsi" w:hAnsiTheme="majorHAnsi"/>
          <w:iCs/>
          <w:sz w:val="24"/>
          <w:szCs w:val="24"/>
        </w:rPr>
        <w:t>Master of Quantitative Finance</w:t>
      </w:r>
      <w:r>
        <w:rPr>
          <w:rFonts w:asciiTheme="majorHAnsi" w:hAnsiTheme="majorHAnsi"/>
          <w:iCs/>
          <w:sz w:val="24"/>
          <w:szCs w:val="24"/>
        </w:rPr>
        <w:t>, Full-time, Part-time, and online MBA programs and undergraduate Computational Finance minor programs</w:t>
      </w:r>
      <w:r w:rsidR="00AC6BEE">
        <w:rPr>
          <w:rFonts w:asciiTheme="majorHAnsi" w:hAnsiTheme="majorHAnsi"/>
          <w:iCs/>
          <w:sz w:val="24"/>
          <w:szCs w:val="24"/>
        </w:rPr>
        <w:t xml:space="preserve"> since 2009</w:t>
      </w:r>
      <w:r w:rsidR="00E22E2D">
        <w:rPr>
          <w:rFonts w:asciiTheme="majorHAnsi" w:hAnsiTheme="majorHAnsi"/>
          <w:iCs/>
          <w:sz w:val="24"/>
          <w:szCs w:val="24"/>
        </w:rPr>
        <w:t xml:space="preserve"> with consistently strong survey results overall across all years</w:t>
      </w:r>
    </w:p>
    <w:p w14:paraId="5F628CB4" w14:textId="368029ED" w:rsidR="00F61DCD" w:rsidRDefault="00F61DCD" w:rsidP="00F61DCD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Developed and delivered new </w:t>
      </w:r>
      <w:r w:rsidR="001A4AEC">
        <w:rPr>
          <w:rFonts w:asciiTheme="majorHAnsi" w:hAnsiTheme="majorHAnsi"/>
          <w:iCs/>
          <w:sz w:val="24"/>
          <w:szCs w:val="24"/>
        </w:rPr>
        <w:t xml:space="preserve">graduate level </w:t>
      </w:r>
      <w:r>
        <w:rPr>
          <w:rFonts w:asciiTheme="majorHAnsi" w:hAnsiTheme="majorHAnsi"/>
          <w:iCs/>
          <w:sz w:val="24"/>
          <w:szCs w:val="24"/>
        </w:rPr>
        <w:t>2-course sequence in risk management</w:t>
      </w:r>
      <w:r w:rsidR="00CD4F89">
        <w:rPr>
          <w:rFonts w:asciiTheme="majorHAnsi" w:hAnsiTheme="majorHAnsi"/>
          <w:iCs/>
          <w:sz w:val="24"/>
          <w:szCs w:val="24"/>
        </w:rPr>
        <w:t xml:space="preserve"> resulting in the publication of my graduate textbook; </w:t>
      </w:r>
      <w:r w:rsidR="00AC6BEE" w:rsidRPr="00AC6BEE">
        <w:rPr>
          <w:rFonts w:asciiTheme="majorHAnsi" w:hAnsiTheme="majorHAnsi"/>
          <w:i/>
          <w:sz w:val="24"/>
          <w:szCs w:val="24"/>
        </w:rPr>
        <w:t>A Risk Professional’s Survival Guide, Applied Best Practices in Risk Management</w:t>
      </w:r>
      <w:r w:rsidR="00AC6BEE">
        <w:rPr>
          <w:rFonts w:asciiTheme="majorHAnsi" w:hAnsiTheme="majorHAnsi"/>
          <w:iCs/>
          <w:sz w:val="24"/>
          <w:szCs w:val="24"/>
        </w:rPr>
        <w:t xml:space="preserve"> published by Wiley Finance, 2014.</w:t>
      </w:r>
    </w:p>
    <w:p w14:paraId="4CB1B831" w14:textId="5B430ECB" w:rsidR="00F61DCD" w:rsidRDefault="00F61DCD" w:rsidP="00F61DCD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Developed and delivered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Cs/>
          <w:sz w:val="24"/>
          <w:szCs w:val="24"/>
        </w:rPr>
        <w:t xml:space="preserve">new </w:t>
      </w:r>
      <w:r w:rsidR="001A4AEC">
        <w:rPr>
          <w:rFonts w:asciiTheme="majorHAnsi" w:hAnsiTheme="majorHAnsi"/>
          <w:iCs/>
          <w:sz w:val="24"/>
          <w:szCs w:val="24"/>
        </w:rPr>
        <w:t xml:space="preserve">graduate level </w:t>
      </w:r>
      <w:r>
        <w:rPr>
          <w:rFonts w:asciiTheme="majorHAnsi" w:hAnsiTheme="majorHAnsi"/>
          <w:iCs/>
          <w:sz w:val="24"/>
          <w:szCs w:val="24"/>
        </w:rPr>
        <w:t>course in financial engineering based on my experiential learning projects (ELPs)</w:t>
      </w:r>
    </w:p>
    <w:p w14:paraId="5F6FFCCB" w14:textId="2D4EBC84" w:rsidR="001A4AEC" w:rsidRDefault="001A4AEC" w:rsidP="00F61DCD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Developed and delivered new interdisciplinary graduate level course on climate models and analytic tools co-taught with atmospheric science faculty from CMNS</w:t>
      </w:r>
    </w:p>
    <w:p w14:paraId="610B3F02" w14:textId="75582BA5" w:rsidR="00AC6BEE" w:rsidRDefault="00AC6BEE" w:rsidP="00F61DCD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proofErr w:type="gramStart"/>
      <w:r>
        <w:rPr>
          <w:rFonts w:asciiTheme="majorHAnsi" w:hAnsiTheme="majorHAnsi"/>
          <w:iCs/>
          <w:sz w:val="24"/>
          <w:szCs w:val="24"/>
        </w:rPr>
        <w:t>Taught</w:t>
      </w:r>
      <w:proofErr w:type="gramEnd"/>
      <w:r>
        <w:rPr>
          <w:rFonts w:asciiTheme="majorHAnsi" w:hAnsiTheme="majorHAnsi"/>
          <w:iCs/>
          <w:sz w:val="24"/>
          <w:szCs w:val="24"/>
        </w:rPr>
        <w:t xml:space="preserve"> numerous courses over the years including Derivatives, Commercial Bank Management, Corporate Risk Management, </w:t>
      </w:r>
      <w:r w:rsidR="001A4AEC">
        <w:rPr>
          <w:rFonts w:asciiTheme="majorHAnsi" w:hAnsiTheme="majorHAnsi"/>
          <w:iCs/>
          <w:sz w:val="24"/>
          <w:szCs w:val="24"/>
        </w:rPr>
        <w:t xml:space="preserve">Climate Models and Analytic Tools, </w:t>
      </w:r>
      <w:r>
        <w:rPr>
          <w:rFonts w:asciiTheme="majorHAnsi" w:hAnsiTheme="majorHAnsi"/>
          <w:iCs/>
          <w:sz w:val="24"/>
          <w:szCs w:val="24"/>
        </w:rPr>
        <w:t>and dozens of ELPs</w:t>
      </w:r>
    </w:p>
    <w:p w14:paraId="79CBF20F" w14:textId="5AE043DF" w:rsidR="00CD4F89" w:rsidRDefault="00CD4F89" w:rsidP="00CD4F89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Developed the Finance Department’s first ELPs over 10 years </w:t>
      </w:r>
      <w:r w:rsidR="00AC6BEE">
        <w:rPr>
          <w:rFonts w:asciiTheme="majorHAnsi" w:hAnsiTheme="majorHAnsi"/>
          <w:iCs/>
          <w:sz w:val="24"/>
          <w:szCs w:val="24"/>
        </w:rPr>
        <w:t>ago</w:t>
      </w:r>
      <w:r>
        <w:rPr>
          <w:rFonts w:asciiTheme="majorHAnsi" w:hAnsiTheme="majorHAnsi"/>
          <w:iCs/>
          <w:sz w:val="24"/>
          <w:szCs w:val="24"/>
        </w:rPr>
        <w:t xml:space="preserve"> have become highly successful programs for our students with major corporate sponsors on topics leveraging massive databases for highly complex statistical and AI analysis including:</w:t>
      </w:r>
    </w:p>
    <w:p w14:paraId="23E1FCD1" w14:textId="55089E3F" w:rsidR="00CD4F89" w:rsidRDefault="00CD4F89" w:rsidP="00CD4F89">
      <w:pPr>
        <w:pStyle w:val="ListParagraph"/>
        <w:numPr>
          <w:ilvl w:val="2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Google and AI analysis of bank and fintech credit performance and ratings</w:t>
      </w:r>
    </w:p>
    <w:p w14:paraId="47733588" w14:textId="036586F3" w:rsidR="00CD4F89" w:rsidRDefault="00CD4F89" w:rsidP="00CD4F89">
      <w:pPr>
        <w:pStyle w:val="ListParagraph"/>
        <w:numPr>
          <w:ilvl w:val="2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Freddie Mac and Fannie Mae over multiple years on developing a stochastic mortgage valuation engine for pricing credit risk transfer securities (CRTs)</w:t>
      </w:r>
    </w:p>
    <w:p w14:paraId="5E5843C4" w14:textId="422034A4" w:rsidR="00CD4F89" w:rsidRDefault="00CD4F89" w:rsidP="00CD4F89">
      <w:pPr>
        <w:pStyle w:val="ListParagraph"/>
        <w:numPr>
          <w:ilvl w:val="2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Capital One on counterparty risk measurement</w:t>
      </w:r>
    </w:p>
    <w:p w14:paraId="03E0C3ED" w14:textId="33D1F239" w:rsidR="00CD4F89" w:rsidRDefault="00CD4F89" w:rsidP="00CD4F89">
      <w:pPr>
        <w:pStyle w:val="ListParagraph"/>
        <w:numPr>
          <w:ilvl w:val="2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Radian Mortgage Insurance on house price valuation</w:t>
      </w:r>
    </w:p>
    <w:p w14:paraId="5D3FF705" w14:textId="1C686595" w:rsidR="00CD4F89" w:rsidRDefault="00CD4F89" w:rsidP="00CD4F89">
      <w:pPr>
        <w:pStyle w:val="ListParagraph"/>
        <w:numPr>
          <w:ilvl w:val="2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Citigroup on analyzing bank capital requirements for mortgages</w:t>
      </w:r>
    </w:p>
    <w:p w14:paraId="66A935E2" w14:textId="063880EA" w:rsidR="00CD4F89" w:rsidRDefault="00CD4F89" w:rsidP="00CD4F89">
      <w:pPr>
        <w:pStyle w:val="ListParagraph"/>
        <w:numPr>
          <w:ilvl w:val="2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Deloitte on automated underwriting models AI vs statistical model performance</w:t>
      </w:r>
    </w:p>
    <w:p w14:paraId="5BBF5D82" w14:textId="3464FFD2" w:rsidR="00CD4F89" w:rsidRDefault="00CD4F89" w:rsidP="00CD4F89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Received Smith Distinguished Teaching Award 2018 and 2019</w:t>
      </w:r>
    </w:p>
    <w:p w14:paraId="2CF53CC5" w14:textId="6FF26B60" w:rsidR="001A7F40" w:rsidRPr="00CD4F89" w:rsidRDefault="001A7F40" w:rsidP="00CD4F89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Instrumental in placing dozens of students into risk management positions at such institutions as Wells Fargo, Freddie Mac, Fannie Mae, Citigroup, Deloitte, Capital One, M&amp;T Bank, Boeing ECU, Radian Mortgage Insurance, Goldman Sachs, JP Morgan, CIT Bank, AIG, among others</w:t>
      </w:r>
    </w:p>
    <w:p w14:paraId="645F5A89" w14:textId="77777777" w:rsidR="00F61DCD" w:rsidRDefault="00F61DCD" w:rsidP="00F61DCD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lastRenderedPageBreak/>
        <w:t>Developed and oversaw approval through University of Maryland of a new MS Climate Finance and Risk Management</w:t>
      </w:r>
    </w:p>
    <w:p w14:paraId="3F4937DA" w14:textId="77777777" w:rsidR="00F61DCD" w:rsidRDefault="00F61DCD" w:rsidP="00F61DCD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Served on the University of Maryland Senate 2025-2026</w:t>
      </w:r>
    </w:p>
    <w:p w14:paraId="5E86775B" w14:textId="77777777" w:rsidR="00617C8E" w:rsidRDefault="00F61DCD" w:rsidP="00F61DCD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Served on the Smith Finance MS Curriculum Committee for 10 years</w:t>
      </w:r>
    </w:p>
    <w:p w14:paraId="35782663" w14:textId="77777777" w:rsidR="00225014" w:rsidRDefault="00617C8E" w:rsidP="00F61DCD">
      <w:pPr>
        <w:pStyle w:val="ListParagraph"/>
        <w:numPr>
          <w:ilvl w:val="0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Solicited numerous times by financial regulatory </w:t>
      </w:r>
      <w:r w:rsidR="00225014">
        <w:rPr>
          <w:rFonts w:asciiTheme="majorHAnsi" w:hAnsiTheme="majorHAnsi"/>
          <w:iCs/>
          <w:sz w:val="24"/>
          <w:szCs w:val="24"/>
        </w:rPr>
        <w:t>agencies on policy issues relating to mortgage and banking activities including:</w:t>
      </w:r>
    </w:p>
    <w:p w14:paraId="5B7C160A" w14:textId="77777777" w:rsidR="00225014" w:rsidRDefault="00225014" w:rsidP="00225014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Federal Housing Finance Agency on GSE reform and credit pricing</w:t>
      </w:r>
    </w:p>
    <w:p w14:paraId="6ED83CB1" w14:textId="77777777" w:rsidR="00225014" w:rsidRDefault="00225014" w:rsidP="00225014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FDIC on risk-based deposit insurance and 2023 bank failures</w:t>
      </w:r>
    </w:p>
    <w:p w14:paraId="3E677FCB" w14:textId="77777777" w:rsidR="00225014" w:rsidRDefault="00225014" w:rsidP="00225014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Office of the Comptroller of the Currency on loan loss reserving</w:t>
      </w:r>
    </w:p>
    <w:p w14:paraId="25B83ABB" w14:textId="77777777" w:rsidR="00225014" w:rsidRDefault="00225014" w:rsidP="00225014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Federal Reserve on bank capital requirements</w:t>
      </w:r>
    </w:p>
    <w:p w14:paraId="0699A628" w14:textId="371F0FD8" w:rsidR="00A2267D" w:rsidRPr="00F61DCD" w:rsidRDefault="00225014" w:rsidP="00225014">
      <w:pPr>
        <w:pStyle w:val="ListParagraph"/>
        <w:numPr>
          <w:ilvl w:val="1"/>
          <w:numId w:val="22"/>
        </w:numPr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>Office of Financial Research on systemic risk issues</w:t>
      </w:r>
      <w:r w:rsidR="00A2267D" w:rsidRPr="00F61DCD">
        <w:rPr>
          <w:rFonts w:asciiTheme="majorHAnsi" w:hAnsiTheme="majorHAnsi"/>
          <w:i/>
          <w:sz w:val="24"/>
          <w:szCs w:val="24"/>
        </w:rPr>
        <w:t xml:space="preserve">             </w:t>
      </w:r>
    </w:p>
    <w:p w14:paraId="655F104F" w14:textId="77777777" w:rsidR="00F82833" w:rsidRDefault="00F82833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4BA91B84" w14:textId="5D865C8E" w:rsidR="002D3119" w:rsidRPr="00A2267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 w:rsidRPr="00A2267D">
        <w:rPr>
          <w:rFonts w:asciiTheme="majorHAnsi" w:hAnsiTheme="majorHAnsi" w:cs="TimesNewRomanPSMT"/>
          <w:sz w:val="24"/>
          <w:szCs w:val="24"/>
          <w:u w:val="single"/>
        </w:rPr>
        <w:t>Citigroup</w:t>
      </w:r>
      <w:r w:rsidR="00396791" w:rsidRPr="00A2267D">
        <w:rPr>
          <w:rFonts w:asciiTheme="majorHAnsi" w:hAnsiTheme="majorHAnsi" w:cs="TimesNewRomanPSMT"/>
          <w:sz w:val="24"/>
          <w:szCs w:val="24"/>
          <w:u w:val="single"/>
        </w:rPr>
        <w:t xml:space="preserve"> and Citibank</w:t>
      </w:r>
    </w:p>
    <w:p w14:paraId="367B0C92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45AEA60D" w14:textId="7F495F72" w:rsidR="00E6265E" w:rsidRDefault="00396791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i/>
          <w:iCs/>
          <w:sz w:val="24"/>
          <w:szCs w:val="24"/>
        </w:rPr>
      </w:pPr>
      <w:r>
        <w:rPr>
          <w:rFonts w:asciiTheme="majorHAnsi" w:hAnsiTheme="majorHAnsi" w:cs="TimesNewRomanPSMT"/>
          <w:i/>
          <w:iCs/>
          <w:sz w:val="24"/>
          <w:szCs w:val="24"/>
        </w:rPr>
        <w:t xml:space="preserve">Citibank </w:t>
      </w:r>
      <w:r w:rsidR="002D3119" w:rsidRPr="00B8052D">
        <w:rPr>
          <w:rFonts w:asciiTheme="majorHAnsi" w:hAnsiTheme="majorHAnsi" w:cs="TimesNewRomanPSMT"/>
          <w:i/>
          <w:iCs/>
          <w:sz w:val="24"/>
          <w:szCs w:val="24"/>
        </w:rPr>
        <w:t xml:space="preserve">Managing Director, Chief Risk Officer, </w:t>
      </w:r>
      <w:r>
        <w:rPr>
          <w:rFonts w:asciiTheme="majorHAnsi" w:hAnsiTheme="majorHAnsi" w:cs="TimesNewRomanPSMT"/>
          <w:i/>
          <w:iCs/>
          <w:sz w:val="24"/>
          <w:szCs w:val="24"/>
        </w:rPr>
        <w:t>Consumer Lending Group</w:t>
      </w:r>
    </w:p>
    <w:p w14:paraId="5B82B2BA" w14:textId="6D878266" w:rsidR="00AC6BEE" w:rsidRDefault="00396791" w:rsidP="00AC6BEE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i/>
          <w:iCs/>
          <w:sz w:val="24"/>
          <w:szCs w:val="24"/>
        </w:rPr>
        <w:t xml:space="preserve">and </w:t>
      </w:r>
      <w:r w:rsidR="00E6265E">
        <w:rPr>
          <w:rFonts w:asciiTheme="majorHAnsi" w:hAnsiTheme="majorHAnsi" w:cs="TimesNewRomanPSMT"/>
          <w:i/>
          <w:iCs/>
          <w:sz w:val="24"/>
          <w:szCs w:val="24"/>
        </w:rPr>
        <w:t xml:space="preserve">Managing Director Global Consumer Risk Management </w:t>
      </w:r>
      <w:r w:rsidR="002D3119" w:rsidRPr="00B8052D">
        <w:rPr>
          <w:rFonts w:asciiTheme="majorHAnsi" w:hAnsiTheme="majorHAnsi" w:cs="TimesNewRomanPSMT"/>
          <w:i/>
          <w:iCs/>
          <w:sz w:val="24"/>
          <w:szCs w:val="24"/>
        </w:rPr>
        <w:t>11</w:t>
      </w:r>
      <w:r w:rsidR="002D3119" w:rsidRPr="00B8052D">
        <w:rPr>
          <w:rFonts w:asciiTheme="majorHAnsi" w:hAnsiTheme="majorHAnsi" w:cs="TimesNewRomanPSMT"/>
          <w:sz w:val="24"/>
          <w:szCs w:val="24"/>
        </w:rPr>
        <w:t>/2007 – 7/2009</w:t>
      </w:r>
    </w:p>
    <w:p w14:paraId="2AF7C1C0" w14:textId="77777777" w:rsidR="00AC6BEE" w:rsidRDefault="00AC6BEE" w:rsidP="00AC6BEE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475969A6" w14:textId="05C5A5FA" w:rsidR="00AC6BEE" w:rsidRDefault="00AC6BEE" w:rsidP="00AC6BEE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Highlights</w:t>
      </w:r>
    </w:p>
    <w:p w14:paraId="2EC1F1E9" w14:textId="7CA16872" w:rsidR="00AC6BEE" w:rsidRDefault="00AC6BEE" w:rsidP="00AC6BE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Oversaw risk for Citigroup’s $300 billion portfolio of mortgages, home equity, auto and student loans during the 2008 financial crisis and led a team of 700 risk professionals</w:t>
      </w:r>
    </w:p>
    <w:p w14:paraId="6F12E458" w14:textId="2C33921B" w:rsidR="00AC6BEE" w:rsidRDefault="00AC6BEE" w:rsidP="00AC6BE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Oversaw risk for Citigroup’s global mortgage portfolio and led strategic risk management activities</w:t>
      </w:r>
    </w:p>
    <w:p w14:paraId="23FC6E1B" w14:textId="2904CF50" w:rsidR="00AC6BEE" w:rsidRDefault="00AC6BEE" w:rsidP="00AC6BE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Led the first Supervisory Capital Assessment Program (SCAP), the industry’s first stress test program for large banks</w:t>
      </w:r>
    </w:p>
    <w:p w14:paraId="53CC8906" w14:textId="130DABF9" w:rsidR="00AC6BEE" w:rsidRDefault="00AC6BEE" w:rsidP="00AC6BE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Responsible for communicating SCAP results to regulators as a prerequisite for accessing TARP funding in 2008</w:t>
      </w:r>
    </w:p>
    <w:p w14:paraId="0B159902" w14:textId="157B08CF" w:rsidR="00AC6BEE" w:rsidRDefault="009A3E33" w:rsidP="00AC6BE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Served on the Executive Committee of the Conser Lending Division</w:t>
      </w:r>
    </w:p>
    <w:p w14:paraId="25047A0D" w14:textId="4F511370" w:rsidR="009A3E33" w:rsidRDefault="009A3E33" w:rsidP="00AC6BE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Responsible for overseeing valuation of credit portfolios for Citigroup M&amp;A activity</w:t>
      </w:r>
    </w:p>
    <w:p w14:paraId="6C349470" w14:textId="53E4FA4E" w:rsidR="009A3E33" w:rsidRDefault="009A3E33" w:rsidP="00AC6BE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Responsible for establishing and approving Consumer Lending Division’s loan loss reserve</w:t>
      </w:r>
    </w:p>
    <w:p w14:paraId="76CC7D85" w14:textId="69084119" w:rsidR="009A3E33" w:rsidRDefault="009A3E33" w:rsidP="00AC6BE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Served as Chair of Global Mortgage Risk Management Committee</w:t>
      </w:r>
    </w:p>
    <w:p w14:paraId="2C155565" w14:textId="77777777" w:rsidR="009A3E33" w:rsidRPr="00AC6BEE" w:rsidRDefault="009A3E33" w:rsidP="009A3E33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2F2B9B12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i/>
          <w:iCs/>
          <w:sz w:val="24"/>
          <w:szCs w:val="24"/>
        </w:rPr>
      </w:pPr>
    </w:p>
    <w:p w14:paraId="68DAD5B1" w14:textId="77777777" w:rsidR="002D3119" w:rsidRPr="00396791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435125">
        <w:rPr>
          <w:rFonts w:asciiTheme="majorHAnsi" w:hAnsiTheme="majorHAnsi" w:cs="TimesNewRomanPSMT"/>
          <w:sz w:val="24"/>
          <w:szCs w:val="24"/>
          <w:u w:val="single"/>
        </w:rPr>
        <w:t>Washington Mutual</w:t>
      </w:r>
      <w:r w:rsidRPr="00396791">
        <w:rPr>
          <w:rFonts w:asciiTheme="majorHAnsi" w:hAnsiTheme="majorHAnsi" w:cs="TimesNewRomanPSMT"/>
          <w:sz w:val="24"/>
          <w:szCs w:val="24"/>
        </w:rPr>
        <w:t xml:space="preserve"> – (WaMu)</w:t>
      </w:r>
    </w:p>
    <w:p w14:paraId="2E44E734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2466920E" w14:textId="77777777" w:rsidR="002D3119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i/>
          <w:iCs/>
          <w:sz w:val="24"/>
          <w:szCs w:val="24"/>
        </w:rPr>
        <w:t>Senior Vice President, Chief Credit Officer</w:t>
      </w:r>
      <w:r w:rsidRPr="00B8052D">
        <w:rPr>
          <w:rFonts w:asciiTheme="majorHAnsi" w:hAnsiTheme="majorHAnsi" w:cs="TimesNewRomanPSMT"/>
          <w:sz w:val="24"/>
          <w:szCs w:val="24"/>
        </w:rPr>
        <w:t>, 2/2007 – 11/2007</w:t>
      </w:r>
    </w:p>
    <w:p w14:paraId="6020DF83" w14:textId="77777777" w:rsidR="009A3E33" w:rsidRDefault="009A3E33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6A0AF7B2" w14:textId="22C59FCE" w:rsidR="009A3E33" w:rsidRDefault="009A3E33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Highlights</w:t>
      </w:r>
    </w:p>
    <w:p w14:paraId="4B38F547" w14:textId="79AB86C1" w:rsidR="009A3E33" w:rsidRDefault="009A3E33" w:rsidP="009A3E33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Served as seniormost credit officer for WaMu, responsible for credit risk of a $300B+ portfolio of mortgages, credit cards, and commercial loans</w:t>
      </w:r>
    </w:p>
    <w:p w14:paraId="5294AE2C" w14:textId="7D7EC361" w:rsidR="009A3E33" w:rsidRDefault="009A3E33" w:rsidP="009A3E33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Management liaison to Board Credit and Finance Committee</w:t>
      </w:r>
    </w:p>
    <w:p w14:paraId="22D384C1" w14:textId="4C3176AF" w:rsidR="009A3E33" w:rsidRDefault="009A3E33" w:rsidP="009A3E33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proofErr w:type="gramStart"/>
      <w:r>
        <w:rPr>
          <w:rFonts w:asciiTheme="majorHAnsi" w:hAnsiTheme="majorHAnsi" w:cs="TimesNewRomanPSMT"/>
          <w:sz w:val="24"/>
          <w:szCs w:val="24"/>
        </w:rPr>
        <w:t>Introduced</w:t>
      </w:r>
      <w:proofErr w:type="gramEnd"/>
      <w:r>
        <w:rPr>
          <w:rFonts w:asciiTheme="majorHAnsi" w:hAnsiTheme="majorHAnsi" w:cs="TimesNewRomanPSMT"/>
          <w:sz w:val="24"/>
          <w:szCs w:val="24"/>
        </w:rPr>
        <w:t xml:space="preserve"> and enterprise-wide risk management infrastructure rating system for assessing WaMu’s ability to manage risk</w:t>
      </w:r>
    </w:p>
    <w:p w14:paraId="28EB8076" w14:textId="296C3080" w:rsidR="009A3E33" w:rsidRDefault="009A3E33" w:rsidP="009A3E33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Served as Chair of WaMu Credit Committee and Loan Review Committee</w:t>
      </w:r>
    </w:p>
    <w:p w14:paraId="0CA82FEC" w14:textId="704D19F6" w:rsidR="009A3E33" w:rsidRDefault="009A3E33" w:rsidP="009A3E33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lastRenderedPageBreak/>
        <w:t>Responsible for reviewing and approving WaMu’s loan loss reserve</w:t>
      </w:r>
    </w:p>
    <w:p w14:paraId="20902DDC" w14:textId="75CC7C54" w:rsidR="009A3E33" w:rsidRPr="009A3E33" w:rsidRDefault="009A3E33" w:rsidP="009A3E33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Reviewed and approved large, structured transactions</w:t>
      </w:r>
    </w:p>
    <w:p w14:paraId="0A6F7A78" w14:textId="77777777" w:rsidR="00396791" w:rsidRDefault="00396791" w:rsidP="00D063E5">
      <w:pPr>
        <w:widowControl w:val="0"/>
        <w:tabs>
          <w:tab w:val="left" w:pos="720"/>
        </w:tabs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</w:p>
    <w:p w14:paraId="1E4C69F4" w14:textId="5BDCEF5C" w:rsidR="002D3119" w:rsidRPr="00435125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 w:rsidRPr="00435125">
        <w:rPr>
          <w:rFonts w:asciiTheme="majorHAnsi" w:hAnsiTheme="majorHAnsi" w:cs="TimesNewRomanPSMT"/>
          <w:sz w:val="24"/>
          <w:szCs w:val="24"/>
          <w:u w:val="single"/>
        </w:rPr>
        <w:t>Countrywide Financial Corporation/Countrywide Bank</w:t>
      </w:r>
    </w:p>
    <w:p w14:paraId="748969A3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56A694AA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i/>
          <w:iCs/>
          <w:sz w:val="24"/>
          <w:szCs w:val="24"/>
        </w:rPr>
      </w:pPr>
      <w:r w:rsidRPr="00B8052D">
        <w:rPr>
          <w:rFonts w:asciiTheme="majorHAnsi" w:hAnsiTheme="majorHAnsi" w:cs="TimesNewRomanPSMT"/>
          <w:i/>
          <w:iCs/>
          <w:sz w:val="24"/>
          <w:szCs w:val="24"/>
        </w:rPr>
        <w:t>Managing Director, Chief Risk Officer</w:t>
      </w:r>
    </w:p>
    <w:p w14:paraId="4FA220BD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>Countrywide Bank, 8/2005 – 2/2007</w:t>
      </w:r>
    </w:p>
    <w:p w14:paraId="19CECA7B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2D3A7FAA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i/>
          <w:iCs/>
          <w:sz w:val="24"/>
          <w:szCs w:val="24"/>
        </w:rPr>
      </w:pPr>
      <w:r w:rsidRPr="00B8052D">
        <w:rPr>
          <w:rFonts w:asciiTheme="majorHAnsi" w:hAnsiTheme="majorHAnsi" w:cs="TimesNewRomanPSMT"/>
          <w:i/>
          <w:iCs/>
          <w:sz w:val="24"/>
          <w:szCs w:val="24"/>
        </w:rPr>
        <w:t>Executive Vice President, Chief Credit Officer</w:t>
      </w:r>
    </w:p>
    <w:p w14:paraId="38407254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>Countrywide Bank, 2/2004 – 8/2005</w:t>
      </w:r>
    </w:p>
    <w:p w14:paraId="39E5322D" w14:textId="77777777" w:rsidR="009A3E33" w:rsidRDefault="009A3E33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</w:p>
    <w:p w14:paraId="267DA7BD" w14:textId="328E666E" w:rsidR="009A3E33" w:rsidRPr="009A3E33" w:rsidRDefault="009A3E33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9A3E33">
        <w:rPr>
          <w:rFonts w:asciiTheme="majorHAnsi" w:hAnsiTheme="majorHAnsi" w:cs="TimesNewRomanPSMT"/>
          <w:sz w:val="24"/>
          <w:szCs w:val="24"/>
        </w:rPr>
        <w:t>Highlights</w:t>
      </w:r>
    </w:p>
    <w:p w14:paraId="38745059" w14:textId="57CB6414" w:rsidR="009A3E33" w:rsidRPr="00565750" w:rsidRDefault="009A3E33" w:rsidP="009A3E3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>
        <w:rPr>
          <w:rFonts w:asciiTheme="majorHAnsi" w:hAnsiTheme="majorHAnsi" w:cs="TimesNewRomanPSMT"/>
          <w:sz w:val="24"/>
          <w:szCs w:val="24"/>
        </w:rPr>
        <w:t xml:space="preserve">Established an enterprise risk management department of 100+ risk professionals for credit, market, and operational risk </w:t>
      </w:r>
    </w:p>
    <w:p w14:paraId="3B0D6648" w14:textId="6102282D" w:rsidR="00565750" w:rsidRPr="00565750" w:rsidRDefault="00565750" w:rsidP="009A3E3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>
        <w:rPr>
          <w:rFonts w:asciiTheme="majorHAnsi" w:hAnsiTheme="majorHAnsi" w:cs="TimesNewRomanPSMT"/>
          <w:sz w:val="24"/>
          <w:szCs w:val="24"/>
        </w:rPr>
        <w:t>Oversaw all risk of Countrywide Bank’s activities including $100+B mortgage portfolio</w:t>
      </w:r>
    </w:p>
    <w:p w14:paraId="77377DDC" w14:textId="631C9110" w:rsidR="00565750" w:rsidRPr="009A3E33" w:rsidRDefault="00565750" w:rsidP="009A3E3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>
        <w:rPr>
          <w:rFonts w:asciiTheme="majorHAnsi" w:hAnsiTheme="majorHAnsi" w:cs="TimesNewRomanPSMT"/>
          <w:sz w:val="24"/>
          <w:szCs w:val="24"/>
        </w:rPr>
        <w:t xml:space="preserve">Designed </w:t>
      </w:r>
      <w:proofErr w:type="gramStart"/>
      <w:r>
        <w:rPr>
          <w:rFonts w:asciiTheme="majorHAnsi" w:hAnsiTheme="majorHAnsi" w:cs="TimesNewRomanPSMT"/>
          <w:sz w:val="24"/>
          <w:szCs w:val="24"/>
        </w:rPr>
        <w:t>a number of</w:t>
      </w:r>
      <w:proofErr w:type="gramEnd"/>
      <w:r>
        <w:rPr>
          <w:rFonts w:asciiTheme="majorHAnsi" w:hAnsiTheme="majorHAnsi" w:cs="TimesNewRomanPSMT"/>
          <w:sz w:val="24"/>
          <w:szCs w:val="24"/>
        </w:rPr>
        <w:t xml:space="preserve"> bank mortgage products and established risk management controls for these products</w:t>
      </w:r>
    </w:p>
    <w:p w14:paraId="7DBC3468" w14:textId="479685C9" w:rsidR="009A3E33" w:rsidRPr="009A3E33" w:rsidRDefault="009A3E33" w:rsidP="009A3E3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>
        <w:rPr>
          <w:rFonts w:asciiTheme="majorHAnsi" w:hAnsiTheme="majorHAnsi" w:cs="TimesNewRomanPSMT"/>
          <w:sz w:val="24"/>
          <w:szCs w:val="24"/>
        </w:rPr>
        <w:t>Member of Countrywide Bank’s Executive Committee</w:t>
      </w:r>
    </w:p>
    <w:p w14:paraId="6DB98EE8" w14:textId="53F92F82" w:rsidR="009A3E33" w:rsidRPr="009A3E33" w:rsidRDefault="009A3E33" w:rsidP="009A3E3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>
        <w:rPr>
          <w:rFonts w:asciiTheme="majorHAnsi" w:hAnsiTheme="majorHAnsi" w:cs="TimesNewRomanPSMT"/>
          <w:sz w:val="24"/>
          <w:szCs w:val="24"/>
        </w:rPr>
        <w:t>Reviewed and approved bank’s loan loss reserve including signing of Sarbanes-Oxley sub attestations</w:t>
      </w:r>
    </w:p>
    <w:p w14:paraId="36D984F6" w14:textId="038FF0AE" w:rsidR="009A3E33" w:rsidRPr="009A3E33" w:rsidRDefault="009A3E33" w:rsidP="009A3E3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>
        <w:rPr>
          <w:rFonts w:asciiTheme="majorHAnsi" w:hAnsiTheme="majorHAnsi" w:cs="TimesNewRomanPSMT"/>
          <w:sz w:val="24"/>
          <w:szCs w:val="24"/>
        </w:rPr>
        <w:t>Management liaison to Board Risk Management Committee</w:t>
      </w:r>
    </w:p>
    <w:p w14:paraId="5A3C0AF4" w14:textId="5D219F10" w:rsidR="009A3E33" w:rsidRPr="009A3E33" w:rsidRDefault="009A3E33" w:rsidP="009A3E3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>
        <w:rPr>
          <w:rFonts w:asciiTheme="majorHAnsi" w:hAnsiTheme="majorHAnsi" w:cs="TimesNewRomanPSMT"/>
          <w:sz w:val="24"/>
          <w:szCs w:val="24"/>
        </w:rPr>
        <w:t>Architect of bank’s automated underwriting and mortgage valuation process</w:t>
      </w:r>
    </w:p>
    <w:p w14:paraId="45F510CA" w14:textId="0F9312E6" w:rsidR="009A3E33" w:rsidRPr="009A3E33" w:rsidRDefault="009A3E33" w:rsidP="009A3E33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>
        <w:rPr>
          <w:rFonts w:asciiTheme="majorHAnsi" w:hAnsiTheme="majorHAnsi" w:cs="TimesNewRomanPSMT"/>
          <w:sz w:val="24"/>
          <w:szCs w:val="24"/>
        </w:rPr>
        <w:t>First dual executive of Countrywide Financial and Countrywide Bank</w:t>
      </w:r>
      <w:r w:rsidR="00565750">
        <w:rPr>
          <w:rFonts w:asciiTheme="majorHAnsi" w:hAnsiTheme="majorHAnsi" w:cs="TimesNewRomanPSMT"/>
          <w:sz w:val="24"/>
          <w:szCs w:val="24"/>
        </w:rPr>
        <w:t xml:space="preserve"> providing strategic guidance between parent and bank on risk management </w:t>
      </w:r>
    </w:p>
    <w:p w14:paraId="51CEA68D" w14:textId="77777777" w:rsidR="009A3E33" w:rsidRDefault="009A3E33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</w:p>
    <w:p w14:paraId="0B12B2A8" w14:textId="59F5EF93" w:rsidR="002D3119" w:rsidRPr="00435125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 w:rsidRPr="00435125">
        <w:rPr>
          <w:rFonts w:asciiTheme="majorHAnsi" w:hAnsiTheme="majorHAnsi" w:cs="TimesNewRomanPSMT"/>
          <w:sz w:val="24"/>
          <w:szCs w:val="24"/>
          <w:u w:val="single"/>
        </w:rPr>
        <w:t>Freddie Mac</w:t>
      </w:r>
    </w:p>
    <w:p w14:paraId="675C9080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</w:p>
    <w:p w14:paraId="6520648D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i/>
          <w:iCs/>
          <w:sz w:val="24"/>
          <w:szCs w:val="24"/>
        </w:rPr>
        <w:t>Senior Director, Mortgage Analytics &amp; Model Deployment</w:t>
      </w:r>
      <w:r w:rsidRPr="00B8052D">
        <w:rPr>
          <w:rFonts w:asciiTheme="majorHAnsi" w:hAnsiTheme="majorHAnsi" w:cs="TimesNewRomanPSMT"/>
          <w:sz w:val="24"/>
          <w:szCs w:val="24"/>
        </w:rPr>
        <w:t xml:space="preserve">, and Mortgage Credit Policy 1/98 – 2/2004, </w:t>
      </w:r>
      <w:r w:rsidRPr="00B8052D">
        <w:rPr>
          <w:rFonts w:asciiTheme="majorHAnsi" w:hAnsiTheme="majorHAnsi" w:cs="TimesNewRomanPSMT"/>
          <w:i/>
          <w:iCs/>
          <w:sz w:val="24"/>
          <w:szCs w:val="24"/>
        </w:rPr>
        <w:t>Principal/Senior Economist</w:t>
      </w:r>
      <w:r w:rsidRPr="00B8052D">
        <w:rPr>
          <w:rFonts w:asciiTheme="majorHAnsi" w:hAnsiTheme="majorHAnsi" w:cs="TimesNewRomanPSMT"/>
          <w:sz w:val="24"/>
          <w:szCs w:val="24"/>
        </w:rPr>
        <w:t>, 1/96 – 1/98</w:t>
      </w:r>
    </w:p>
    <w:p w14:paraId="3AF9FD72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i/>
          <w:iCs/>
          <w:sz w:val="24"/>
          <w:szCs w:val="24"/>
        </w:rPr>
      </w:pPr>
    </w:p>
    <w:p w14:paraId="06E84DA0" w14:textId="7DD560DD" w:rsidR="00CE0D64" w:rsidRDefault="00565750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Highlights</w:t>
      </w:r>
    </w:p>
    <w:p w14:paraId="45B48AA4" w14:textId="7A686061" w:rsidR="00565750" w:rsidRDefault="00565750" w:rsidP="0056575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Member of the first team designing and developing industry’s first automated underwriting system (AUS), Loan Prospector</w:t>
      </w:r>
    </w:p>
    <w:p w14:paraId="56927700" w14:textId="2C8B68A9" w:rsidR="00565750" w:rsidRDefault="00565750" w:rsidP="0056575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Designed and developed industry’s first automated underwriting scorecards for the Federal Housing Administration (FHA) and Veterans Administration (VA)</w:t>
      </w:r>
    </w:p>
    <w:p w14:paraId="708E2C27" w14:textId="4D0D98BA" w:rsidR="00565750" w:rsidRDefault="00565750" w:rsidP="0056575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Responsible for overseeing Freddie Mac’s Single-Family business credit policy</w:t>
      </w:r>
    </w:p>
    <w:p w14:paraId="77F9BB84" w14:textId="35BE800E" w:rsidR="00565750" w:rsidRDefault="00565750" w:rsidP="0056575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Oversaw Freddie Mac Single-Family custom credit structuring program</w:t>
      </w:r>
    </w:p>
    <w:p w14:paraId="7EA83F40" w14:textId="2D00B4E0" w:rsidR="00565750" w:rsidRDefault="00565750" w:rsidP="00565750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Responsible for creating Freddie Mac AUS credit cutoff policy</w:t>
      </w:r>
    </w:p>
    <w:p w14:paraId="1181997D" w14:textId="4F34E13F" w:rsidR="00565750" w:rsidRPr="00565750" w:rsidRDefault="00565750" w:rsidP="00565750">
      <w:pPr>
        <w:pStyle w:val="ListParagraph"/>
        <w:numPr>
          <w:ilvl w:val="0"/>
          <w:numId w:val="27"/>
        </w:num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Co-inventor for three structured finance product patents</w:t>
      </w:r>
    </w:p>
    <w:p w14:paraId="32ACB843" w14:textId="77777777" w:rsidR="00565750" w:rsidRPr="00565750" w:rsidRDefault="00565750" w:rsidP="00565750">
      <w:pPr>
        <w:pStyle w:val="ListParagraph"/>
        <w:numPr>
          <w:ilvl w:val="1"/>
          <w:numId w:val="27"/>
        </w:numPr>
        <w:rPr>
          <w:rFonts w:asciiTheme="majorHAnsi" w:hAnsiTheme="majorHAnsi"/>
          <w:sz w:val="24"/>
          <w:szCs w:val="24"/>
          <w:u w:val="single"/>
        </w:rPr>
      </w:pPr>
      <w:hyperlink r:id="rId8" w:history="1">
        <w:r w:rsidRPr="00565750">
          <w:rPr>
            <w:rStyle w:val="Hyperlink"/>
            <w:color w:val="06357A"/>
            <w:sz w:val="24"/>
            <w:szCs w:val="24"/>
          </w:rPr>
          <w:t>Risk-based reference pool capital reducing systems and methods</w:t>
        </w:r>
      </w:hyperlink>
      <w:r w:rsidRPr="00565750">
        <w:rPr>
          <w:color w:val="1A1A1A"/>
          <w:sz w:val="24"/>
          <w:szCs w:val="24"/>
        </w:rPr>
        <w:t xml:space="preserve"> </w:t>
      </w:r>
    </w:p>
    <w:p w14:paraId="27259E82" w14:textId="77777777" w:rsidR="00565750" w:rsidRPr="00565750" w:rsidRDefault="00565750" w:rsidP="00565750">
      <w:pPr>
        <w:pStyle w:val="ListParagraph"/>
        <w:numPr>
          <w:ilvl w:val="1"/>
          <w:numId w:val="27"/>
        </w:numPr>
        <w:rPr>
          <w:rFonts w:asciiTheme="majorHAnsi" w:hAnsiTheme="majorHAnsi"/>
          <w:color w:val="000000"/>
          <w:sz w:val="24"/>
          <w:szCs w:val="24"/>
        </w:rPr>
      </w:pPr>
      <w:r w:rsidRPr="00565750">
        <w:rPr>
          <w:rStyle w:val="Strong"/>
          <w:rFonts w:asciiTheme="majorHAnsi" w:hAnsiTheme="majorHAnsi"/>
          <w:b w:val="0"/>
          <w:bCs w:val="0"/>
          <w:color w:val="000000"/>
          <w:sz w:val="24"/>
          <w:szCs w:val="24"/>
        </w:rPr>
        <w:t>Patent numbers</w:t>
      </w:r>
      <w:r w:rsidRPr="00565750">
        <w:rPr>
          <w:rStyle w:val="Strong"/>
          <w:rFonts w:asciiTheme="majorHAnsi" w:hAnsiTheme="majorHAnsi"/>
          <w:color w:val="000000"/>
          <w:sz w:val="24"/>
          <w:szCs w:val="24"/>
        </w:rPr>
        <w:t xml:space="preserve">: </w:t>
      </w:r>
      <w:r w:rsidRPr="00565750">
        <w:rPr>
          <w:rFonts w:asciiTheme="majorHAnsi" w:hAnsiTheme="majorHAnsi"/>
          <w:color w:val="000000"/>
          <w:sz w:val="24"/>
          <w:szCs w:val="24"/>
        </w:rPr>
        <w:t>8447688, 7996304,</w:t>
      </w:r>
      <w:r w:rsidRPr="00565750">
        <w:rPr>
          <w:rFonts w:asciiTheme="majorHAnsi" w:hAnsiTheme="majorHAnsi"/>
          <w:sz w:val="24"/>
          <w:szCs w:val="24"/>
        </w:rPr>
        <w:t xml:space="preserve"> 7987137, </w:t>
      </w:r>
      <w:r w:rsidRPr="00565750">
        <w:rPr>
          <w:rFonts w:asciiTheme="majorHAnsi" w:hAnsiTheme="majorHAnsi"/>
          <w:color w:val="000000"/>
          <w:sz w:val="24"/>
          <w:szCs w:val="24"/>
        </w:rPr>
        <w:t>7792742</w:t>
      </w:r>
    </w:p>
    <w:p w14:paraId="1FED2FD3" w14:textId="77777777" w:rsidR="00565750" w:rsidRPr="00565750" w:rsidRDefault="00565750" w:rsidP="00565750">
      <w:pPr>
        <w:pStyle w:val="ListParagraph"/>
        <w:rPr>
          <w:rFonts w:asciiTheme="majorHAnsi" w:hAnsiTheme="majorHAnsi"/>
          <w:b/>
          <w:bCs/>
          <w:color w:val="000000"/>
          <w:sz w:val="24"/>
          <w:szCs w:val="24"/>
        </w:rPr>
      </w:pPr>
    </w:p>
    <w:p w14:paraId="253E20BA" w14:textId="77777777" w:rsidR="00FB6D71" w:rsidRDefault="00FB6D71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</w:p>
    <w:p w14:paraId="7F23EA0E" w14:textId="77777777" w:rsidR="00FB6D71" w:rsidRDefault="00FB6D71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</w:p>
    <w:p w14:paraId="1A447760" w14:textId="77777777" w:rsidR="00FB6D71" w:rsidRDefault="00FB6D71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</w:p>
    <w:p w14:paraId="6D8F9E57" w14:textId="77777777" w:rsidR="00FB6D71" w:rsidRDefault="00FB6D71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</w:p>
    <w:p w14:paraId="3D43EDD8" w14:textId="77777777" w:rsidR="00FB6D71" w:rsidRDefault="00FB6D71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</w:p>
    <w:p w14:paraId="0772A7EF" w14:textId="39BA5B0E" w:rsidR="002D3119" w:rsidRPr="00435125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 w:rsidRPr="00435125">
        <w:rPr>
          <w:rFonts w:asciiTheme="majorHAnsi" w:hAnsiTheme="majorHAnsi" w:cs="TimesNewRomanPSMT"/>
          <w:sz w:val="24"/>
          <w:szCs w:val="24"/>
          <w:u w:val="single"/>
        </w:rPr>
        <w:t>Office of Thrift Supervision (OTS)</w:t>
      </w:r>
    </w:p>
    <w:p w14:paraId="54A14374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i/>
          <w:iCs/>
          <w:sz w:val="24"/>
          <w:szCs w:val="24"/>
          <w:u w:val="single"/>
        </w:rPr>
      </w:pPr>
    </w:p>
    <w:p w14:paraId="49A5ABDB" w14:textId="0612168F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i/>
          <w:iCs/>
          <w:sz w:val="24"/>
          <w:szCs w:val="24"/>
        </w:rPr>
        <w:t>Senior Financial Economist</w:t>
      </w:r>
      <w:r w:rsidRPr="00B8052D">
        <w:rPr>
          <w:rFonts w:asciiTheme="majorHAnsi" w:hAnsiTheme="majorHAnsi" w:cs="TimesNewRomanPSMT"/>
          <w:sz w:val="24"/>
          <w:szCs w:val="24"/>
        </w:rPr>
        <w:t xml:space="preserve">, (2/91 </w:t>
      </w:r>
      <w:r w:rsidR="00565750">
        <w:rPr>
          <w:rFonts w:asciiTheme="majorHAnsi" w:hAnsiTheme="majorHAnsi" w:cs="TimesNewRomanPSMT"/>
          <w:sz w:val="24"/>
          <w:szCs w:val="24"/>
        </w:rPr>
        <w:t>–</w:t>
      </w:r>
      <w:r w:rsidRPr="00B8052D">
        <w:rPr>
          <w:rFonts w:asciiTheme="majorHAnsi" w:hAnsiTheme="majorHAnsi" w:cs="TimesNewRomanPSMT"/>
          <w:sz w:val="24"/>
          <w:szCs w:val="24"/>
        </w:rPr>
        <w:t xml:space="preserve"> 10/93 &amp; 7/94 </w:t>
      </w:r>
      <w:r w:rsidR="00565750">
        <w:rPr>
          <w:rFonts w:asciiTheme="majorHAnsi" w:hAnsiTheme="majorHAnsi" w:cs="TimesNewRomanPSMT"/>
          <w:sz w:val="24"/>
          <w:szCs w:val="24"/>
        </w:rPr>
        <w:t>–</w:t>
      </w:r>
      <w:r w:rsidRPr="00B8052D">
        <w:rPr>
          <w:rFonts w:asciiTheme="majorHAnsi" w:hAnsiTheme="majorHAnsi" w:cs="TimesNewRomanPSMT"/>
          <w:sz w:val="24"/>
          <w:szCs w:val="24"/>
        </w:rPr>
        <w:t xml:space="preserve"> 1/96)</w:t>
      </w:r>
    </w:p>
    <w:p w14:paraId="18176A14" w14:textId="77777777" w:rsidR="002D3119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63516E12" w14:textId="5E576949" w:rsidR="003A68BA" w:rsidRPr="003A68BA" w:rsidRDefault="003A68BA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Highlights</w:t>
      </w:r>
    </w:p>
    <w:p w14:paraId="554D4021" w14:textId="64AA4243" w:rsidR="002D3119" w:rsidRDefault="00565750" w:rsidP="00565750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Served as key resource during the S&amp;L crisis for litigation and regulatory work</w:t>
      </w:r>
    </w:p>
    <w:p w14:paraId="577864C6" w14:textId="23BB7203" w:rsidR="00565750" w:rsidRDefault="00565750" w:rsidP="00565750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For a major Supreme Court case on thrift goodwill, provided the first estimates of industry losses from the thrift crisis</w:t>
      </w:r>
    </w:p>
    <w:p w14:paraId="0F865A24" w14:textId="194193B7" w:rsidR="003A68BA" w:rsidRPr="00565750" w:rsidRDefault="003A68BA" w:rsidP="00565750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Conducted a wide variety of research on thrift profitability and cost structure</w:t>
      </w:r>
    </w:p>
    <w:p w14:paraId="57EC5BFA" w14:textId="77777777" w:rsidR="003A68BA" w:rsidRDefault="003A68BA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13FE32CC" w14:textId="77777777" w:rsidR="00E22E2D" w:rsidRDefault="00E22E2D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0FA21B0B" w14:textId="15D7D474" w:rsidR="002D3119" w:rsidRPr="00E22E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i/>
          <w:iCs/>
          <w:sz w:val="24"/>
          <w:szCs w:val="24"/>
          <w:u w:val="single"/>
        </w:rPr>
      </w:pPr>
      <w:r w:rsidRPr="00E22E2D">
        <w:rPr>
          <w:rFonts w:asciiTheme="majorHAnsi" w:hAnsiTheme="majorHAnsi" w:cs="TimesNewRomanPSMT"/>
          <w:sz w:val="24"/>
          <w:szCs w:val="24"/>
          <w:u w:val="single"/>
        </w:rPr>
        <w:t>Fannie Mae</w:t>
      </w:r>
    </w:p>
    <w:p w14:paraId="58F41B6F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i/>
          <w:iCs/>
          <w:sz w:val="24"/>
          <w:szCs w:val="24"/>
        </w:rPr>
      </w:pPr>
    </w:p>
    <w:p w14:paraId="27CD5222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i/>
          <w:iCs/>
          <w:sz w:val="24"/>
          <w:szCs w:val="24"/>
        </w:rPr>
      </w:pPr>
      <w:r w:rsidRPr="00B8052D">
        <w:rPr>
          <w:rFonts w:asciiTheme="majorHAnsi" w:hAnsiTheme="majorHAnsi" w:cs="TimesNewRomanPSMT"/>
          <w:i/>
          <w:iCs/>
          <w:sz w:val="24"/>
          <w:szCs w:val="24"/>
        </w:rPr>
        <w:t>Financial Economist</w:t>
      </w:r>
      <w:r w:rsidRPr="00B8052D">
        <w:rPr>
          <w:rFonts w:asciiTheme="majorHAnsi" w:hAnsiTheme="majorHAnsi" w:cs="TimesNewRomanPSMT"/>
          <w:sz w:val="24"/>
          <w:szCs w:val="24"/>
        </w:rPr>
        <w:t>, (10/93 - 7/94)</w:t>
      </w:r>
    </w:p>
    <w:p w14:paraId="21503D5A" w14:textId="77777777" w:rsidR="00396791" w:rsidRDefault="00396791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6D3A8A15" w14:textId="7E2DC567" w:rsidR="003A68BA" w:rsidRDefault="003A68BA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Highlights</w:t>
      </w:r>
    </w:p>
    <w:p w14:paraId="03EC2A2B" w14:textId="531823CA" w:rsidR="003A68BA" w:rsidRPr="003A68BA" w:rsidRDefault="003A68BA" w:rsidP="003A68BA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 xml:space="preserve">Conducted research on seller performance effects for </w:t>
      </w:r>
      <w:proofErr w:type="gramStart"/>
      <w:r>
        <w:rPr>
          <w:rFonts w:asciiTheme="majorHAnsi" w:hAnsiTheme="majorHAnsi" w:cs="TimesNewRomanPSMT"/>
          <w:sz w:val="24"/>
          <w:szCs w:val="24"/>
        </w:rPr>
        <w:t>guarantee</w:t>
      </w:r>
      <w:proofErr w:type="gramEnd"/>
      <w:r>
        <w:rPr>
          <w:rFonts w:asciiTheme="majorHAnsi" w:hAnsiTheme="majorHAnsi" w:cs="TimesNewRomanPSMT"/>
          <w:sz w:val="24"/>
          <w:szCs w:val="24"/>
        </w:rPr>
        <w:t xml:space="preserve"> fee pricing models</w:t>
      </w:r>
    </w:p>
    <w:p w14:paraId="1FA89F25" w14:textId="22EE0704" w:rsidR="008B4AC0" w:rsidRDefault="008B4AC0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74C789A2" w14:textId="77777777" w:rsidR="00225014" w:rsidRDefault="00225014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</w:p>
    <w:p w14:paraId="0BAB1FB4" w14:textId="06F4B4C4" w:rsidR="002D3119" w:rsidRPr="00435125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  <w:u w:val="single"/>
        </w:rPr>
      </w:pPr>
      <w:r w:rsidRPr="00435125">
        <w:rPr>
          <w:rFonts w:asciiTheme="majorHAnsi" w:hAnsiTheme="majorHAnsi" w:cs="TimesNewRomanPSMT"/>
          <w:sz w:val="24"/>
          <w:szCs w:val="24"/>
          <w:u w:val="single"/>
        </w:rPr>
        <w:t>Economic Research Service (ERS)/US Treasury Department Office of Domestic Finance</w:t>
      </w:r>
    </w:p>
    <w:p w14:paraId="3EEBF509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i/>
          <w:iCs/>
          <w:sz w:val="24"/>
          <w:szCs w:val="24"/>
        </w:rPr>
      </w:pPr>
    </w:p>
    <w:p w14:paraId="7D244065" w14:textId="77777777" w:rsidR="002D3119" w:rsidRPr="00B8052D" w:rsidRDefault="002D3119" w:rsidP="002D3119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i/>
          <w:iCs/>
          <w:sz w:val="24"/>
          <w:szCs w:val="24"/>
        </w:rPr>
        <w:t>Senior Financial Economist</w:t>
      </w:r>
      <w:r w:rsidRPr="00B8052D">
        <w:rPr>
          <w:rFonts w:asciiTheme="majorHAnsi" w:hAnsiTheme="majorHAnsi" w:cs="TimesNewRomanPSMT"/>
          <w:sz w:val="24"/>
          <w:szCs w:val="24"/>
        </w:rPr>
        <w:t>, (10/85 - 2/91)</w:t>
      </w:r>
    </w:p>
    <w:p w14:paraId="17BBB31F" w14:textId="35866BA7" w:rsidR="00896E9F" w:rsidRDefault="00896E9F" w:rsidP="001C2A6D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00DCC1E9" w14:textId="2BCEA4CC" w:rsidR="00CC6268" w:rsidRDefault="003A68BA" w:rsidP="003A68B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Highlights</w:t>
      </w:r>
    </w:p>
    <w:p w14:paraId="39857D79" w14:textId="40072EA7" w:rsidR="003A68BA" w:rsidRDefault="003A68BA" w:rsidP="003A68BA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Conducted work on thrift profitability and cost structure</w:t>
      </w:r>
    </w:p>
    <w:p w14:paraId="2C88B49E" w14:textId="48E8A975" w:rsidR="003A68BA" w:rsidRDefault="003A68BA" w:rsidP="003A68BA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Conducted research on tax effects of 1986 Tax Reform Act on rural banks and thrifts</w:t>
      </w:r>
    </w:p>
    <w:p w14:paraId="1138771F" w14:textId="07C5F813" w:rsidR="003A68BA" w:rsidRPr="003A68BA" w:rsidRDefault="003A68BA" w:rsidP="003A68BA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Conducted research on Brady Bonds related to the Latin American debt crisis of the 1980s.</w:t>
      </w:r>
    </w:p>
    <w:p w14:paraId="47563367" w14:textId="50CAB2D7" w:rsidR="00A91DE9" w:rsidRDefault="001C2A6D" w:rsidP="00A91DE9">
      <w:pPr>
        <w:widowControl w:val="0"/>
        <w:autoSpaceDE w:val="0"/>
        <w:autoSpaceDN w:val="0"/>
        <w:adjustRightInd w:val="0"/>
        <w:rPr>
          <w:rFonts w:asciiTheme="majorHAnsi" w:hAnsiTheme="majorHAnsi"/>
          <w:i/>
          <w:sz w:val="24"/>
          <w:szCs w:val="24"/>
        </w:rPr>
      </w:pPr>
      <w:r w:rsidRPr="009C0C0A">
        <w:rPr>
          <w:rFonts w:asciiTheme="majorHAnsi" w:hAnsiTheme="majorHAnsi"/>
          <w:b/>
          <w:bCs/>
          <w:sz w:val="24"/>
          <w:szCs w:val="24"/>
        </w:rPr>
        <w:t>Books Authored</w:t>
      </w:r>
    </w:p>
    <w:p w14:paraId="24748135" w14:textId="77777777" w:rsidR="00D063E5" w:rsidRPr="00D063E5" w:rsidRDefault="00D063E5" w:rsidP="00A91DE9">
      <w:pPr>
        <w:widowControl w:val="0"/>
        <w:autoSpaceDE w:val="0"/>
        <w:autoSpaceDN w:val="0"/>
        <w:adjustRightInd w:val="0"/>
        <w:rPr>
          <w:rFonts w:asciiTheme="majorHAnsi" w:hAnsiTheme="majorHAnsi"/>
          <w:i/>
          <w:sz w:val="24"/>
          <w:szCs w:val="24"/>
        </w:rPr>
      </w:pPr>
    </w:p>
    <w:p w14:paraId="50FEC910" w14:textId="2032B1E5" w:rsidR="0012341D" w:rsidRPr="00B8052D" w:rsidRDefault="0012341D" w:rsidP="00396791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i/>
          <w:iCs/>
          <w:sz w:val="24"/>
          <w:szCs w:val="24"/>
        </w:rPr>
        <w:t>A Risk Professional’s Survival</w:t>
      </w:r>
      <w:r w:rsidR="00A91DE9">
        <w:rPr>
          <w:rFonts w:asciiTheme="majorHAnsi" w:hAnsiTheme="majorHAnsi" w:cs="TimesNewRomanPSMT"/>
          <w:i/>
          <w:iCs/>
          <w:sz w:val="24"/>
          <w:szCs w:val="24"/>
        </w:rPr>
        <w:t xml:space="preserve"> </w:t>
      </w:r>
      <w:r w:rsidRPr="00B8052D">
        <w:rPr>
          <w:rFonts w:asciiTheme="majorHAnsi" w:hAnsiTheme="majorHAnsi" w:cs="TimesNewRomanPSMT"/>
          <w:i/>
          <w:iCs/>
          <w:sz w:val="24"/>
          <w:szCs w:val="24"/>
        </w:rPr>
        <w:t>Guide,</w:t>
      </w:r>
      <w:r w:rsidR="00A91DE9">
        <w:rPr>
          <w:rFonts w:asciiTheme="majorHAnsi" w:hAnsiTheme="majorHAnsi" w:cs="TimesNewRomanPSMT"/>
          <w:i/>
          <w:iCs/>
          <w:sz w:val="24"/>
          <w:szCs w:val="24"/>
        </w:rPr>
        <w:t xml:space="preserve"> Applied Best Practices in Risk </w:t>
      </w:r>
      <w:r w:rsidRPr="00B8052D">
        <w:rPr>
          <w:rFonts w:asciiTheme="majorHAnsi" w:hAnsiTheme="majorHAnsi" w:cs="TimesNewRomanPSMT"/>
          <w:i/>
          <w:iCs/>
          <w:sz w:val="24"/>
          <w:szCs w:val="24"/>
        </w:rPr>
        <w:t>Management</w:t>
      </w:r>
      <w:r w:rsidRPr="00B8052D">
        <w:rPr>
          <w:rFonts w:asciiTheme="majorHAnsi" w:hAnsiTheme="majorHAnsi" w:cs="TimesNewRomanPSMT"/>
          <w:sz w:val="24"/>
          <w:szCs w:val="24"/>
        </w:rPr>
        <w:t>, John Wiley and Sons, 2014.</w:t>
      </w:r>
      <w:r w:rsidR="00CB35D7" w:rsidRPr="00B8052D">
        <w:rPr>
          <w:rFonts w:asciiTheme="majorHAnsi" w:hAnsiTheme="majorHAnsi" w:cs="TimesNewRomanPSMT"/>
          <w:sz w:val="24"/>
          <w:szCs w:val="24"/>
        </w:rPr>
        <w:t xml:space="preserve"> ISBN 978-1-118-04595-4 </w:t>
      </w:r>
    </w:p>
    <w:p w14:paraId="59745210" w14:textId="77777777" w:rsidR="001C2A6D" w:rsidRPr="00B8052D" w:rsidRDefault="001C2A6D" w:rsidP="001C2A6D">
      <w:pPr>
        <w:rPr>
          <w:rFonts w:asciiTheme="majorHAnsi" w:hAnsiTheme="majorHAnsi"/>
          <w:sz w:val="24"/>
          <w:szCs w:val="24"/>
          <w:u w:val="single"/>
        </w:rPr>
      </w:pPr>
    </w:p>
    <w:p w14:paraId="7FA2C96C" w14:textId="525617A5" w:rsidR="001C2A6D" w:rsidRPr="00D063E5" w:rsidRDefault="001C2A6D" w:rsidP="00D063E5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D063E5">
        <w:rPr>
          <w:rFonts w:asciiTheme="majorHAnsi" w:hAnsiTheme="majorHAnsi"/>
          <w:b/>
          <w:bCs/>
          <w:sz w:val="24"/>
          <w:szCs w:val="24"/>
        </w:rPr>
        <w:t>Book</w:t>
      </w:r>
      <w:r w:rsidR="00D063E5" w:rsidRPr="00D063E5">
        <w:rPr>
          <w:rFonts w:asciiTheme="majorHAnsi" w:hAnsiTheme="majorHAnsi"/>
          <w:b/>
          <w:bCs/>
          <w:sz w:val="24"/>
          <w:szCs w:val="24"/>
        </w:rPr>
        <w:t xml:space="preserve"> Chapters Authored</w:t>
      </w:r>
    </w:p>
    <w:p w14:paraId="23161F29" w14:textId="77777777" w:rsidR="00A91DE9" w:rsidRDefault="00A91DE9" w:rsidP="00A91DE9">
      <w:pPr>
        <w:rPr>
          <w:rFonts w:asciiTheme="majorHAnsi" w:hAnsiTheme="majorHAnsi"/>
          <w:sz w:val="24"/>
          <w:szCs w:val="24"/>
        </w:rPr>
      </w:pPr>
    </w:p>
    <w:p w14:paraId="22B6232A" w14:textId="77777777" w:rsidR="00CB35D7" w:rsidRPr="00A91DE9" w:rsidRDefault="00E0479B" w:rsidP="00396791">
      <w:pPr>
        <w:ind w:left="720"/>
        <w:rPr>
          <w:rFonts w:asciiTheme="majorHAnsi" w:hAnsiTheme="majorHAnsi"/>
          <w:sz w:val="24"/>
          <w:szCs w:val="24"/>
        </w:rPr>
      </w:pPr>
      <w:r w:rsidRPr="00A91DE9">
        <w:rPr>
          <w:rFonts w:asciiTheme="majorHAnsi" w:hAnsiTheme="majorHAnsi"/>
          <w:sz w:val="24"/>
          <w:szCs w:val="24"/>
        </w:rPr>
        <w:t xml:space="preserve">Portfolio Risk Monitoring, chapter in </w:t>
      </w:r>
      <w:r w:rsidRPr="00A91DE9">
        <w:rPr>
          <w:rFonts w:asciiTheme="majorHAnsi" w:hAnsiTheme="majorHAnsi"/>
          <w:i/>
          <w:sz w:val="24"/>
          <w:szCs w:val="24"/>
        </w:rPr>
        <w:t>Handbook of Financial Risk Information</w:t>
      </w:r>
      <w:r w:rsidRPr="00A91DE9">
        <w:rPr>
          <w:rFonts w:asciiTheme="majorHAnsi" w:hAnsiTheme="majorHAnsi"/>
          <w:sz w:val="24"/>
          <w:szCs w:val="24"/>
        </w:rPr>
        <w:t>, Cambridge University Press, 2014.</w:t>
      </w:r>
    </w:p>
    <w:p w14:paraId="406FCFBC" w14:textId="77777777" w:rsidR="00A91DE9" w:rsidRDefault="00A91DE9" w:rsidP="00396791">
      <w:pPr>
        <w:ind w:left="720"/>
        <w:rPr>
          <w:rFonts w:asciiTheme="majorHAnsi" w:hAnsiTheme="majorHAnsi"/>
          <w:sz w:val="24"/>
          <w:szCs w:val="24"/>
        </w:rPr>
      </w:pPr>
    </w:p>
    <w:p w14:paraId="1C813218" w14:textId="77777777" w:rsidR="00E0479B" w:rsidRDefault="00E0479B" w:rsidP="00396791">
      <w:pPr>
        <w:ind w:left="720"/>
        <w:rPr>
          <w:rFonts w:asciiTheme="majorHAnsi" w:hAnsiTheme="majorHAnsi"/>
          <w:sz w:val="24"/>
          <w:szCs w:val="24"/>
        </w:rPr>
      </w:pPr>
      <w:r w:rsidRPr="00A91DE9">
        <w:rPr>
          <w:rFonts w:asciiTheme="majorHAnsi" w:hAnsiTheme="majorHAnsi"/>
          <w:sz w:val="24"/>
          <w:szCs w:val="24"/>
        </w:rPr>
        <w:t xml:space="preserve">Frameworks for Systemic Risk Monitoring, co-authored chapter in </w:t>
      </w:r>
      <w:r w:rsidRPr="00A91DE9">
        <w:rPr>
          <w:rFonts w:asciiTheme="majorHAnsi" w:hAnsiTheme="majorHAnsi"/>
          <w:i/>
          <w:sz w:val="24"/>
          <w:szCs w:val="24"/>
        </w:rPr>
        <w:t>Handbook of Financial Risk Information,</w:t>
      </w:r>
      <w:r w:rsidRPr="00A91DE9">
        <w:rPr>
          <w:rFonts w:asciiTheme="majorHAnsi" w:hAnsiTheme="majorHAnsi"/>
          <w:sz w:val="24"/>
          <w:szCs w:val="24"/>
        </w:rPr>
        <w:t xml:space="preserve"> Cambridge University Press, 2014.</w:t>
      </w:r>
    </w:p>
    <w:p w14:paraId="236B918C" w14:textId="77777777" w:rsidR="00372F84" w:rsidRDefault="00372F84" w:rsidP="00396791">
      <w:pPr>
        <w:ind w:left="720"/>
        <w:rPr>
          <w:rFonts w:asciiTheme="majorHAnsi" w:hAnsiTheme="majorHAnsi"/>
          <w:sz w:val="24"/>
          <w:szCs w:val="24"/>
        </w:rPr>
      </w:pPr>
    </w:p>
    <w:p w14:paraId="70BB5EA1" w14:textId="77777777" w:rsidR="00372F84" w:rsidRPr="00A91DE9" w:rsidRDefault="00372F84" w:rsidP="00396791">
      <w:pPr>
        <w:ind w:left="720"/>
        <w:rPr>
          <w:rFonts w:asciiTheme="majorHAnsi" w:hAnsiTheme="majorHAnsi"/>
          <w:sz w:val="24"/>
          <w:szCs w:val="24"/>
        </w:rPr>
      </w:pPr>
      <w:r w:rsidRPr="00372F84">
        <w:rPr>
          <w:rFonts w:asciiTheme="majorHAnsi" w:hAnsiTheme="majorHAnsi"/>
          <w:i/>
          <w:sz w:val="24"/>
          <w:szCs w:val="24"/>
        </w:rPr>
        <w:t xml:space="preserve">Reasons for Caution in Statistical Testing </w:t>
      </w:r>
      <w:r>
        <w:rPr>
          <w:rFonts w:asciiTheme="majorHAnsi" w:hAnsiTheme="majorHAnsi"/>
          <w:i/>
          <w:sz w:val="24"/>
          <w:szCs w:val="24"/>
        </w:rPr>
        <w:t>for Redli</w:t>
      </w:r>
      <w:r w:rsidRPr="00372F84">
        <w:rPr>
          <w:rFonts w:asciiTheme="majorHAnsi" w:hAnsiTheme="majorHAnsi"/>
          <w:i/>
          <w:sz w:val="24"/>
          <w:szCs w:val="24"/>
        </w:rPr>
        <w:t>ning</w:t>
      </w:r>
      <w:r>
        <w:rPr>
          <w:rFonts w:asciiTheme="majorHAnsi" w:hAnsiTheme="majorHAnsi"/>
          <w:sz w:val="24"/>
          <w:szCs w:val="24"/>
        </w:rPr>
        <w:t>, chapter in Fair Lending Analysis, A Compendium of Essays on the Use of Statistics, American Bankers Association, 1995.</w:t>
      </w:r>
    </w:p>
    <w:p w14:paraId="5F2A3E39" w14:textId="77777777" w:rsidR="00A06A53" w:rsidRPr="00B8052D" w:rsidRDefault="00A06A53" w:rsidP="00A06A53">
      <w:pPr>
        <w:rPr>
          <w:rFonts w:asciiTheme="majorHAnsi" w:hAnsiTheme="majorHAnsi"/>
          <w:sz w:val="24"/>
          <w:szCs w:val="24"/>
          <w:u w:val="single"/>
        </w:rPr>
      </w:pPr>
    </w:p>
    <w:p w14:paraId="4A36BCF1" w14:textId="1672F6AE" w:rsidR="001C2A6D" w:rsidRPr="00D063E5" w:rsidRDefault="00852CC8" w:rsidP="00D063E5">
      <w:pPr>
        <w:rPr>
          <w:rFonts w:asciiTheme="majorHAnsi" w:hAnsi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Selected </w:t>
      </w:r>
      <w:r w:rsidR="001C2A6D" w:rsidRPr="00D063E5">
        <w:rPr>
          <w:rFonts w:asciiTheme="majorHAnsi" w:hAnsiTheme="majorHAnsi"/>
          <w:b/>
          <w:bCs/>
          <w:sz w:val="24"/>
          <w:szCs w:val="24"/>
        </w:rPr>
        <w:t>Refereed Journal Articles</w:t>
      </w:r>
    </w:p>
    <w:p w14:paraId="30FB5214" w14:textId="77777777" w:rsidR="00E0479B" w:rsidRPr="00B8052D" w:rsidRDefault="00E0479B" w:rsidP="00E0479B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6F286B34" w14:textId="77777777" w:rsidR="00DF3663" w:rsidRPr="00DF3663" w:rsidRDefault="00DF3663" w:rsidP="00DF3663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DF3663">
        <w:rPr>
          <w:rFonts w:ascii="Times New Roman" w:hAnsi="Times New Roman" w:cs="Times New Roman"/>
          <w:sz w:val="24"/>
          <w:szCs w:val="24"/>
        </w:rPr>
        <w:t>A Comparative Investment Analysis of Batch Versus Continuous</w:t>
      </w:r>
    </w:p>
    <w:p w14:paraId="32A53C29" w14:textId="11CE970E" w:rsidR="00DF3663" w:rsidRPr="00DF3663" w:rsidRDefault="00DF3663" w:rsidP="00DF366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  <w:r w:rsidRPr="00DF3663">
        <w:rPr>
          <w:rFonts w:ascii="Times New Roman" w:hAnsi="Times New Roman" w:cs="Times New Roman"/>
          <w:sz w:val="24"/>
          <w:szCs w:val="24"/>
        </w:rPr>
        <w:t>Pharmaceutical Manufacturing Technologies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3663">
        <w:rPr>
          <w:rFonts w:ascii="Times New Roman" w:hAnsi="Times New Roman" w:cs="Times New Roman"/>
          <w:i/>
          <w:iCs/>
          <w:sz w:val="24"/>
          <w:szCs w:val="24"/>
        </w:rPr>
        <w:t>Journal of Pharmaceutical Innovation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517A3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https://doi.org/10.1007/s12247-021-09612-y</w:t>
        </w:r>
      </w:hyperlink>
      <w:r>
        <w:rPr>
          <w:rFonts w:ascii="Times New Roman" w:hAnsi="Times New Roman" w:cs="Times New Roman"/>
          <w:sz w:val="24"/>
          <w:szCs w:val="24"/>
        </w:rPr>
        <w:t>, 2022.</w:t>
      </w:r>
    </w:p>
    <w:p w14:paraId="78F68D55" w14:textId="77777777" w:rsidR="00CC6268" w:rsidRDefault="00CC6268" w:rsidP="0039679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427F9140" w14:textId="23C28860" w:rsidR="00852CC8" w:rsidRDefault="00852CC8" w:rsidP="0039679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852CC8">
        <w:rPr>
          <w:rFonts w:ascii="Times New Roman" w:hAnsi="Times New Roman" w:cs="Times New Roman"/>
          <w:sz w:val="24"/>
          <w:szCs w:val="24"/>
          <w:lang w:val="en-GB"/>
        </w:rPr>
        <w:t xml:space="preserve">Assessing the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852CC8">
        <w:rPr>
          <w:rFonts w:ascii="Times New Roman" w:hAnsi="Times New Roman" w:cs="Times New Roman"/>
          <w:sz w:val="24"/>
          <w:szCs w:val="24"/>
          <w:lang w:val="en-GB"/>
        </w:rPr>
        <w:t xml:space="preserve">mpact of </w:t>
      </w:r>
      <w:r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852CC8">
        <w:rPr>
          <w:rFonts w:ascii="Times New Roman" w:hAnsi="Times New Roman" w:cs="Times New Roman"/>
          <w:sz w:val="24"/>
          <w:szCs w:val="24"/>
          <w:lang w:val="en-GB"/>
        </w:rPr>
        <w:t xml:space="preserve">urricane </w:t>
      </w:r>
      <w:r>
        <w:rPr>
          <w:rFonts w:ascii="Times New Roman" w:hAnsi="Times New Roman" w:cs="Times New Roman"/>
          <w:sz w:val="24"/>
          <w:szCs w:val="24"/>
          <w:lang w:val="en-GB"/>
        </w:rPr>
        <w:t>F</w:t>
      </w:r>
      <w:r w:rsidRPr="00852CC8">
        <w:rPr>
          <w:rFonts w:ascii="Times New Roman" w:hAnsi="Times New Roman" w:cs="Times New Roman"/>
          <w:sz w:val="24"/>
          <w:szCs w:val="24"/>
          <w:lang w:val="en-GB"/>
        </w:rPr>
        <w:t xml:space="preserve">requency and </w:t>
      </w:r>
      <w:r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852CC8">
        <w:rPr>
          <w:rFonts w:ascii="Times New Roman" w:hAnsi="Times New Roman" w:cs="Times New Roman"/>
          <w:sz w:val="24"/>
          <w:szCs w:val="24"/>
          <w:lang w:val="en-GB"/>
        </w:rPr>
        <w:t xml:space="preserve">ntensity on </w:t>
      </w: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852CC8">
        <w:rPr>
          <w:rFonts w:ascii="Times New Roman" w:hAnsi="Times New Roman" w:cs="Times New Roman"/>
          <w:sz w:val="24"/>
          <w:szCs w:val="24"/>
          <w:lang w:val="en-GB"/>
        </w:rPr>
        <w:t xml:space="preserve">ortgage </w:t>
      </w:r>
      <w:r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852CC8">
        <w:rPr>
          <w:rFonts w:ascii="Times New Roman" w:hAnsi="Times New Roman" w:cs="Times New Roman"/>
          <w:sz w:val="24"/>
          <w:szCs w:val="24"/>
          <w:lang w:val="en-GB"/>
        </w:rPr>
        <w:t>elinquency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852CC8">
        <w:rPr>
          <w:rFonts w:ascii="Times New Roman" w:hAnsi="Times New Roman" w:cs="Times New Roman"/>
          <w:i/>
          <w:iCs/>
          <w:sz w:val="24"/>
          <w:szCs w:val="24"/>
          <w:lang w:val="en-GB"/>
        </w:rPr>
        <w:t>Journal of Risk Management in Financial Institutions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CC6268" w:rsidRPr="00CC6268">
        <w:rPr>
          <w:rFonts w:ascii="Times New Roman" w:hAnsi="Times New Roman" w:cs="Times New Roman"/>
          <w:sz w:val="24"/>
          <w:szCs w:val="24"/>
        </w:rPr>
        <w:t>Vol. 14, 4 426–442</w:t>
      </w:r>
      <w:r w:rsidR="00CC62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2021.</w:t>
      </w:r>
    </w:p>
    <w:p w14:paraId="78ABC206" w14:textId="77777777" w:rsidR="00852CC8" w:rsidRPr="00852CC8" w:rsidRDefault="00852CC8" w:rsidP="0039679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z w:val="24"/>
          <w:szCs w:val="24"/>
        </w:rPr>
      </w:pPr>
    </w:p>
    <w:p w14:paraId="34888BA7" w14:textId="536E1DF1" w:rsidR="00E0479B" w:rsidRPr="00B8052D" w:rsidRDefault="00E0479B" w:rsidP="00396791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 xml:space="preserve">Risk-Adjusted Performance: Lessons from the Financial Crisis, </w:t>
      </w:r>
      <w:r w:rsidRPr="00B8052D">
        <w:rPr>
          <w:rFonts w:asciiTheme="majorHAnsi" w:hAnsiTheme="majorHAnsi" w:cs="TimesNewRomanPSMT"/>
          <w:i/>
          <w:iCs/>
          <w:sz w:val="24"/>
          <w:szCs w:val="24"/>
        </w:rPr>
        <w:t>Journal of Structured Finance</w:t>
      </w:r>
      <w:r w:rsidRPr="00B8052D">
        <w:rPr>
          <w:rFonts w:asciiTheme="majorHAnsi" w:hAnsiTheme="majorHAnsi" w:cs="TimesNewRomanPSMT"/>
          <w:sz w:val="24"/>
          <w:szCs w:val="24"/>
        </w:rPr>
        <w:t>, Summer 2011, Vol. 17, No. 2, pp. 28-35.</w:t>
      </w:r>
    </w:p>
    <w:p w14:paraId="75625CF5" w14:textId="77777777" w:rsidR="0077265C" w:rsidRDefault="0077265C" w:rsidP="00396791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</w:p>
    <w:p w14:paraId="5995144B" w14:textId="77777777" w:rsidR="00E0479B" w:rsidRPr="00B8052D" w:rsidRDefault="00E0479B" w:rsidP="00396791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 xml:space="preserve">Toward Comprehensive GSE and Housing Finance Reform, </w:t>
      </w:r>
      <w:r w:rsidRPr="00B8052D">
        <w:rPr>
          <w:rFonts w:asciiTheme="majorHAnsi" w:hAnsiTheme="majorHAnsi" w:cs="TimesNewRomanPSMT"/>
          <w:i/>
          <w:iCs/>
          <w:sz w:val="24"/>
          <w:szCs w:val="24"/>
        </w:rPr>
        <w:t>Journal of Business and Technology Law</w:t>
      </w:r>
      <w:r w:rsidRPr="00B8052D">
        <w:rPr>
          <w:rFonts w:asciiTheme="majorHAnsi" w:hAnsiTheme="majorHAnsi" w:cs="TimesNewRomanPSMT"/>
          <w:sz w:val="24"/>
          <w:szCs w:val="24"/>
        </w:rPr>
        <w:t>, June 2011.</w:t>
      </w:r>
    </w:p>
    <w:p w14:paraId="473873A9" w14:textId="77777777" w:rsidR="00E0479B" w:rsidRPr="00B8052D" w:rsidRDefault="00E0479B" w:rsidP="00396791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</w:p>
    <w:p w14:paraId="5BBA023E" w14:textId="77777777" w:rsidR="00E0479B" w:rsidRPr="00B8052D" w:rsidRDefault="00E0479B" w:rsidP="00396791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>“Mortgage Banking Cost Structure:</w:t>
      </w:r>
      <w:r w:rsidR="00BF292E">
        <w:rPr>
          <w:rFonts w:asciiTheme="majorHAnsi" w:hAnsiTheme="majorHAnsi" w:cs="TimesNewRomanPSMT"/>
          <w:sz w:val="24"/>
          <w:szCs w:val="24"/>
        </w:rPr>
        <w:t xml:space="preserve"> Resolving an Enigma,”</w:t>
      </w:r>
      <w:r w:rsidRPr="00B8052D">
        <w:rPr>
          <w:rFonts w:asciiTheme="majorHAnsi" w:hAnsiTheme="majorHAnsi" w:cs="TimesNewRomanPSMT"/>
          <w:sz w:val="24"/>
          <w:szCs w:val="24"/>
        </w:rPr>
        <w:t xml:space="preserve"> </w:t>
      </w:r>
      <w:r w:rsidRPr="00B8052D">
        <w:rPr>
          <w:rFonts w:asciiTheme="majorHAnsi" w:hAnsiTheme="majorHAnsi" w:cs="TimesNewRomanPSMT"/>
          <w:i/>
          <w:iCs/>
          <w:sz w:val="24"/>
          <w:szCs w:val="24"/>
        </w:rPr>
        <w:t xml:space="preserve">Journal of Economics and Business, </w:t>
      </w:r>
      <w:r w:rsidRPr="00B8052D">
        <w:rPr>
          <w:rFonts w:asciiTheme="majorHAnsi" w:hAnsiTheme="majorHAnsi" w:cs="TimesNewRomanPSMT"/>
          <w:sz w:val="24"/>
          <w:szCs w:val="24"/>
        </w:rPr>
        <w:t>April 1998.</w:t>
      </w:r>
    </w:p>
    <w:p w14:paraId="09F4FB4A" w14:textId="77777777" w:rsidR="00E0479B" w:rsidRPr="00B8052D" w:rsidRDefault="00E0479B" w:rsidP="00396791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</w:p>
    <w:p w14:paraId="1658F58A" w14:textId="77777777" w:rsidR="00E0479B" w:rsidRPr="00B8052D" w:rsidRDefault="00E0479B" w:rsidP="00396791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 xml:space="preserve">“The Characteristics of Derivatives Users: An Analysis of the Thrift Industry,” </w:t>
      </w:r>
      <w:r w:rsidRPr="00B8052D">
        <w:rPr>
          <w:rFonts w:asciiTheme="majorHAnsi" w:hAnsiTheme="majorHAnsi" w:cs="TimesNewRomanPSMT"/>
          <w:i/>
          <w:iCs/>
          <w:sz w:val="24"/>
          <w:szCs w:val="24"/>
        </w:rPr>
        <w:t>Journal of Economics and Business</w:t>
      </w:r>
      <w:r w:rsidRPr="00B8052D">
        <w:rPr>
          <w:rFonts w:asciiTheme="majorHAnsi" w:hAnsiTheme="majorHAnsi" w:cs="TimesNewRomanPSMT"/>
          <w:sz w:val="24"/>
          <w:szCs w:val="24"/>
        </w:rPr>
        <w:t>, 49:587-598, 1997.</w:t>
      </w:r>
    </w:p>
    <w:p w14:paraId="1ACFF68E" w14:textId="77777777" w:rsidR="00435125" w:rsidRDefault="00435125" w:rsidP="00FB6D71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716629AF" w14:textId="4BB2861D" w:rsidR="00E0479B" w:rsidRPr="00B8052D" w:rsidRDefault="00E0479B" w:rsidP="00396791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 xml:space="preserve">“The Economics of Low-Income Mortgage Lending,” </w:t>
      </w:r>
      <w:r w:rsidRPr="00B8052D">
        <w:rPr>
          <w:rFonts w:asciiTheme="majorHAnsi" w:hAnsiTheme="majorHAnsi" w:cs="TimesNewRomanPSMT"/>
          <w:i/>
          <w:iCs/>
          <w:sz w:val="24"/>
          <w:szCs w:val="24"/>
        </w:rPr>
        <w:t xml:space="preserve">Journal of Financial Services Research, </w:t>
      </w:r>
      <w:r w:rsidRPr="00B8052D">
        <w:rPr>
          <w:rFonts w:asciiTheme="majorHAnsi" w:hAnsiTheme="majorHAnsi" w:cs="TimesNewRomanPSMT"/>
          <w:sz w:val="24"/>
          <w:szCs w:val="24"/>
        </w:rPr>
        <w:t>11:169-188, 1997.</w:t>
      </w:r>
    </w:p>
    <w:p w14:paraId="775A0034" w14:textId="77777777" w:rsidR="00E0479B" w:rsidRPr="00B8052D" w:rsidRDefault="00E0479B" w:rsidP="00396791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</w:p>
    <w:p w14:paraId="52C6BECE" w14:textId="77777777" w:rsidR="00E0479B" w:rsidRPr="00B8052D" w:rsidRDefault="00E0479B" w:rsidP="00396791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>“Statistical Evidence of Mortgage Redlining? A Cautionary Tale</w:t>
      </w:r>
      <w:r w:rsidRPr="00B8052D">
        <w:rPr>
          <w:rFonts w:asciiTheme="majorHAnsi" w:hAnsiTheme="majorHAnsi" w:cs="TimesNewRomanPSMT"/>
          <w:i/>
          <w:iCs/>
          <w:sz w:val="24"/>
          <w:szCs w:val="24"/>
        </w:rPr>
        <w:t>,” Journal of Real Estate Research</w:t>
      </w:r>
      <w:r w:rsidRPr="00B8052D">
        <w:rPr>
          <w:rFonts w:asciiTheme="majorHAnsi" w:hAnsiTheme="majorHAnsi" w:cs="TimesNewRomanPSMT"/>
          <w:sz w:val="24"/>
          <w:szCs w:val="24"/>
        </w:rPr>
        <w:t>, 1995.</w:t>
      </w:r>
    </w:p>
    <w:p w14:paraId="2D92BEAD" w14:textId="77777777" w:rsidR="00E0479B" w:rsidRPr="00B8052D" w:rsidRDefault="00E0479B" w:rsidP="00396791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</w:p>
    <w:p w14:paraId="71A9C484" w14:textId="01C5B15E" w:rsidR="00E0479B" w:rsidRDefault="00E0479B" w:rsidP="00396791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 xml:space="preserve">“Implications of FIRREA on Thrift Industry Cost Structure,” </w:t>
      </w:r>
      <w:r w:rsidRPr="00B8052D">
        <w:rPr>
          <w:rFonts w:asciiTheme="majorHAnsi" w:hAnsiTheme="majorHAnsi" w:cs="TimesNewRomanPSMT"/>
          <w:i/>
          <w:iCs/>
          <w:sz w:val="24"/>
          <w:szCs w:val="24"/>
        </w:rPr>
        <w:t>Journal of Financial Services Research</w:t>
      </w:r>
      <w:r w:rsidRPr="00B8052D">
        <w:rPr>
          <w:rFonts w:asciiTheme="majorHAnsi" w:hAnsiTheme="majorHAnsi" w:cs="TimesNewRomanPSMT"/>
          <w:sz w:val="24"/>
          <w:szCs w:val="24"/>
        </w:rPr>
        <w:t>, 8:29-44, 1994.</w:t>
      </w:r>
    </w:p>
    <w:p w14:paraId="18321F9E" w14:textId="77777777" w:rsidR="00F17B94" w:rsidRPr="00B8052D" w:rsidRDefault="00F17B94" w:rsidP="00E0479B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083F988D" w14:textId="77777777" w:rsidR="00615A17" w:rsidRDefault="00615A17" w:rsidP="00615A17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Congressional Testimony</w:t>
      </w:r>
    </w:p>
    <w:p w14:paraId="0ACC1698" w14:textId="77777777" w:rsidR="00615A17" w:rsidRDefault="00615A17" w:rsidP="00615A17"/>
    <w:p w14:paraId="7E23C8B5" w14:textId="29418260" w:rsidR="00191C14" w:rsidRDefault="00191C14" w:rsidP="00615A17">
      <w:pPr>
        <w:pStyle w:val="Default"/>
        <w:ind w:left="720"/>
      </w:pPr>
      <w:r w:rsidRPr="00615A17">
        <w:t>Before the Hous</w:t>
      </w:r>
      <w:r>
        <w:t>ing and Insurance Subcommittee of the House Financial Services Committee, The Current Mortgage Market: Undermining Housing Affordability with Politics, May 17, 2023.</w:t>
      </w:r>
    </w:p>
    <w:p w14:paraId="1C499AB8" w14:textId="77777777" w:rsidR="00191C14" w:rsidRDefault="00191C14" w:rsidP="00615A17">
      <w:pPr>
        <w:pStyle w:val="Default"/>
        <w:ind w:left="720"/>
      </w:pPr>
    </w:p>
    <w:p w14:paraId="528B6FA1" w14:textId="3DD7D66B" w:rsidR="00615A17" w:rsidRPr="00615A17" w:rsidRDefault="00615A17" w:rsidP="00615A17">
      <w:pPr>
        <w:pStyle w:val="Default"/>
        <w:ind w:left="720"/>
      </w:pPr>
      <w:r w:rsidRPr="00615A17">
        <w:t>Before the House Financial Services Subcommittee on Consumer Protection and Financial Institutions “Addressing Climate as a Systemic Risk: The Need to Build Resilience within Our Banking and Financial System</w:t>
      </w:r>
      <w:r w:rsidR="00BB6EA8">
        <w:t>,”</w:t>
      </w:r>
      <w:r>
        <w:t xml:space="preserve"> </w:t>
      </w:r>
      <w:r w:rsidRPr="00615A17">
        <w:t>June 30</w:t>
      </w:r>
      <w:r>
        <w:t>, 2021.</w:t>
      </w:r>
    </w:p>
    <w:p w14:paraId="4A4645FC" w14:textId="77777777" w:rsidR="00615A17" w:rsidRPr="00615A17" w:rsidRDefault="00615A17" w:rsidP="00615A17">
      <w:pPr>
        <w:rPr>
          <w:rFonts w:ascii="Times New Roman" w:hAnsi="Times New Roman" w:cs="Times New Roman"/>
          <w:sz w:val="24"/>
          <w:szCs w:val="24"/>
        </w:rPr>
      </w:pPr>
      <w:r w:rsidRPr="00615A17">
        <w:rPr>
          <w:rFonts w:ascii="Times New Roman" w:hAnsi="Times New Roman" w:cs="Times New Roman"/>
          <w:sz w:val="24"/>
          <w:szCs w:val="24"/>
        </w:rPr>
        <w:tab/>
      </w:r>
    </w:p>
    <w:p w14:paraId="04F7ADDE" w14:textId="77777777" w:rsidR="00615A17" w:rsidRPr="00615A17" w:rsidRDefault="00615A17" w:rsidP="00615A17">
      <w:pPr>
        <w:ind w:left="720"/>
        <w:rPr>
          <w:rFonts w:ascii="Times New Roman" w:hAnsi="Times New Roman" w:cs="Times New Roman"/>
          <w:sz w:val="24"/>
          <w:szCs w:val="24"/>
        </w:rPr>
      </w:pPr>
      <w:r w:rsidRPr="00615A17">
        <w:rPr>
          <w:rFonts w:ascii="Times New Roman" w:hAnsi="Times New Roman" w:cs="Times New Roman"/>
          <w:sz w:val="24"/>
          <w:szCs w:val="24"/>
        </w:rPr>
        <w:t>Before the Subcommittee on Housing and Insurance of the Committee on Financial Services United States House of Representatives, “The Future of Housing in America: Oversight of the Federal Housing Administration - Part II”, February 26, 2016.</w:t>
      </w:r>
    </w:p>
    <w:p w14:paraId="2CD5BE8B" w14:textId="77777777" w:rsidR="00615A17" w:rsidRPr="00615A17" w:rsidRDefault="00615A17" w:rsidP="00615A17">
      <w:pPr>
        <w:rPr>
          <w:rFonts w:ascii="Times New Roman" w:hAnsi="Times New Roman" w:cs="Times New Roman"/>
          <w:bCs/>
          <w:sz w:val="24"/>
          <w:szCs w:val="24"/>
        </w:rPr>
      </w:pPr>
    </w:p>
    <w:p w14:paraId="1EFBAA5F" w14:textId="77777777" w:rsidR="00615A17" w:rsidRPr="00615A17" w:rsidRDefault="00615A17" w:rsidP="00615A17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15A1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Before the Subcommittee on Housing and Insurance of the Committee on Financial Services United States House of Representatives, </w:t>
      </w:r>
      <w:r w:rsidRPr="00615A17">
        <w:rPr>
          <w:rStyle w:val="Strong"/>
          <w:rFonts w:ascii="Times New Roman" w:hAnsi="Times New Roman" w:cs="Times New Roman"/>
          <w:b w:val="0"/>
          <w:sz w:val="24"/>
          <w:szCs w:val="24"/>
        </w:rPr>
        <w:t>“Sustainable Housing Finance: Perspectives on Reforming FHA,” April 10, 2013.</w:t>
      </w:r>
    </w:p>
    <w:p w14:paraId="36C39533" w14:textId="77777777" w:rsidR="00615A17" w:rsidRDefault="00615A17" w:rsidP="00D063E5">
      <w:pPr>
        <w:rPr>
          <w:rFonts w:asciiTheme="majorHAnsi" w:hAnsiTheme="majorHAnsi"/>
          <w:b/>
          <w:bCs/>
          <w:sz w:val="24"/>
          <w:szCs w:val="24"/>
        </w:rPr>
      </w:pPr>
    </w:p>
    <w:p w14:paraId="3448F0AD" w14:textId="77777777" w:rsidR="00565750" w:rsidRDefault="00565750" w:rsidP="00D063E5">
      <w:pPr>
        <w:rPr>
          <w:rFonts w:asciiTheme="majorHAnsi" w:hAnsiTheme="majorHAnsi"/>
          <w:b/>
          <w:bCs/>
          <w:sz w:val="24"/>
          <w:szCs w:val="24"/>
        </w:rPr>
      </w:pPr>
    </w:p>
    <w:p w14:paraId="23991D0E" w14:textId="166B7A8B" w:rsidR="00F614CE" w:rsidRPr="00396791" w:rsidRDefault="00F614CE" w:rsidP="00D063E5">
      <w:pPr>
        <w:rPr>
          <w:rFonts w:asciiTheme="majorHAnsi" w:hAnsiTheme="majorHAnsi"/>
          <w:b/>
          <w:bCs/>
          <w:sz w:val="24"/>
          <w:szCs w:val="24"/>
        </w:rPr>
      </w:pPr>
      <w:r w:rsidRPr="00396791">
        <w:rPr>
          <w:rFonts w:asciiTheme="majorHAnsi" w:hAnsiTheme="majorHAnsi"/>
          <w:b/>
          <w:bCs/>
          <w:sz w:val="24"/>
          <w:szCs w:val="24"/>
        </w:rPr>
        <w:t>Keynotes</w:t>
      </w:r>
    </w:p>
    <w:p w14:paraId="43FC74CF" w14:textId="77777777" w:rsidR="00BF292E" w:rsidRDefault="00BF292E" w:rsidP="00F614CE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6574538E" w14:textId="2DACDCE0" w:rsidR="00191C14" w:rsidRPr="00B8052D" w:rsidRDefault="00191C14" w:rsidP="00191C14">
      <w:pPr>
        <w:pStyle w:val="ListParagraph"/>
        <w:rPr>
          <w:rFonts w:asciiTheme="majorHAnsi" w:hAnsiTheme="majorHAnsi"/>
          <w:sz w:val="24"/>
          <w:szCs w:val="24"/>
        </w:rPr>
      </w:pPr>
      <w:r w:rsidRPr="00B8052D">
        <w:rPr>
          <w:rFonts w:asciiTheme="majorHAnsi" w:hAnsiTheme="majorHAnsi"/>
          <w:sz w:val="24"/>
          <w:szCs w:val="24"/>
        </w:rPr>
        <w:t>American Bankers Association Risk Management Conference 20</w:t>
      </w:r>
      <w:r>
        <w:rPr>
          <w:rFonts w:asciiTheme="majorHAnsi" w:hAnsiTheme="majorHAnsi"/>
          <w:sz w:val="24"/>
          <w:szCs w:val="24"/>
        </w:rPr>
        <w:t>23</w:t>
      </w:r>
      <w:r w:rsidRPr="00B8052D">
        <w:rPr>
          <w:rFonts w:asciiTheme="majorHAnsi" w:hAnsiTheme="majorHAnsi"/>
          <w:sz w:val="24"/>
          <w:szCs w:val="24"/>
        </w:rPr>
        <w:t xml:space="preserve"> – Keynote Address</w:t>
      </w:r>
      <w:r>
        <w:rPr>
          <w:rFonts w:asciiTheme="majorHAnsi" w:hAnsiTheme="majorHAnsi"/>
          <w:sz w:val="24"/>
          <w:szCs w:val="24"/>
        </w:rPr>
        <w:t>.</w:t>
      </w:r>
    </w:p>
    <w:p w14:paraId="7D159C7D" w14:textId="77777777" w:rsidR="00191C14" w:rsidRDefault="00191C14" w:rsidP="00396791">
      <w:pPr>
        <w:pStyle w:val="ListParagraph"/>
        <w:rPr>
          <w:rFonts w:asciiTheme="majorHAnsi" w:hAnsiTheme="majorHAnsi"/>
          <w:sz w:val="24"/>
          <w:szCs w:val="24"/>
        </w:rPr>
      </w:pPr>
    </w:p>
    <w:p w14:paraId="4719F10E" w14:textId="71E519A4" w:rsidR="00FB3E8C" w:rsidRPr="00B8052D" w:rsidRDefault="00E0479B" w:rsidP="00396791">
      <w:pPr>
        <w:pStyle w:val="ListParagraph"/>
        <w:rPr>
          <w:rFonts w:asciiTheme="majorHAnsi" w:hAnsiTheme="majorHAnsi"/>
          <w:sz w:val="24"/>
          <w:szCs w:val="24"/>
        </w:rPr>
      </w:pPr>
      <w:r w:rsidRPr="00B8052D">
        <w:rPr>
          <w:rFonts w:asciiTheme="majorHAnsi" w:hAnsiTheme="majorHAnsi"/>
          <w:sz w:val="24"/>
          <w:szCs w:val="24"/>
        </w:rPr>
        <w:t>American Bankers Association Risk Management Conference 2018 – Keynote Address</w:t>
      </w:r>
      <w:r w:rsidR="00EF3F88">
        <w:rPr>
          <w:rFonts w:asciiTheme="majorHAnsi" w:hAnsiTheme="majorHAnsi"/>
          <w:sz w:val="24"/>
          <w:szCs w:val="24"/>
        </w:rPr>
        <w:t>.</w:t>
      </w:r>
    </w:p>
    <w:p w14:paraId="49418758" w14:textId="77777777" w:rsidR="00F614CE" w:rsidRPr="00B8052D" w:rsidRDefault="00F614CE" w:rsidP="00396791">
      <w:pPr>
        <w:pStyle w:val="ListParagraph"/>
        <w:rPr>
          <w:rFonts w:asciiTheme="majorHAnsi" w:hAnsiTheme="majorHAnsi"/>
          <w:sz w:val="24"/>
          <w:szCs w:val="24"/>
          <w:u w:val="single"/>
        </w:rPr>
      </w:pPr>
    </w:p>
    <w:p w14:paraId="71F20BF7" w14:textId="54445DDB" w:rsidR="00E0479B" w:rsidRDefault="00E0479B" w:rsidP="00396791">
      <w:pPr>
        <w:pStyle w:val="ListParagraph"/>
        <w:rPr>
          <w:rFonts w:asciiTheme="majorHAnsi" w:hAnsiTheme="majorHAnsi"/>
          <w:sz w:val="24"/>
          <w:szCs w:val="24"/>
        </w:rPr>
      </w:pPr>
      <w:r w:rsidRPr="00B8052D">
        <w:rPr>
          <w:rFonts w:asciiTheme="majorHAnsi" w:hAnsiTheme="majorHAnsi"/>
          <w:sz w:val="24"/>
          <w:szCs w:val="24"/>
        </w:rPr>
        <w:t>American Bankers Association Risk Management Conference 2016 – Keynote Address</w:t>
      </w:r>
      <w:r w:rsidR="00EF3F88">
        <w:rPr>
          <w:rFonts w:asciiTheme="majorHAnsi" w:hAnsiTheme="majorHAnsi"/>
          <w:sz w:val="24"/>
          <w:szCs w:val="24"/>
        </w:rPr>
        <w:t>.</w:t>
      </w:r>
    </w:p>
    <w:p w14:paraId="6DC1EA21" w14:textId="77777777" w:rsidR="00A91DE9" w:rsidRDefault="00A91DE9" w:rsidP="00396791">
      <w:pPr>
        <w:pStyle w:val="ListParagraph"/>
        <w:rPr>
          <w:rFonts w:asciiTheme="majorHAnsi" w:hAnsiTheme="majorHAnsi"/>
          <w:sz w:val="24"/>
          <w:szCs w:val="24"/>
        </w:rPr>
      </w:pPr>
    </w:p>
    <w:p w14:paraId="433FE74E" w14:textId="77777777" w:rsidR="00A91DE9" w:rsidRPr="00A91DE9" w:rsidRDefault="00A91DE9" w:rsidP="00396791">
      <w:pPr>
        <w:pStyle w:val="ListParagraph"/>
        <w:rPr>
          <w:rFonts w:asciiTheme="majorHAnsi" w:hAnsiTheme="majorHAnsi"/>
          <w:sz w:val="24"/>
          <w:szCs w:val="24"/>
        </w:rPr>
      </w:pPr>
      <w:r w:rsidRPr="00A91DE9">
        <w:rPr>
          <w:rFonts w:asciiTheme="majorHAnsi" w:hAnsiTheme="majorHAnsi" w:cs="Arial"/>
          <w:color w:val="222222"/>
          <w:sz w:val="24"/>
          <w:szCs w:val="24"/>
        </w:rPr>
        <w:t>Risks on the Horizon for Banking and Financial Services, Annual Cornell in Washington DC Predictions Dinner, 2016.</w:t>
      </w:r>
    </w:p>
    <w:p w14:paraId="059963CC" w14:textId="77777777" w:rsidR="00F614CE" w:rsidRPr="00A91DE9" w:rsidRDefault="00F614CE" w:rsidP="00396791">
      <w:pPr>
        <w:rPr>
          <w:rFonts w:asciiTheme="majorHAnsi" w:hAnsiTheme="majorHAnsi"/>
          <w:sz w:val="24"/>
          <w:szCs w:val="24"/>
        </w:rPr>
      </w:pPr>
    </w:p>
    <w:p w14:paraId="68962F05" w14:textId="5DD175E5" w:rsidR="00E0479B" w:rsidRDefault="00E0479B" w:rsidP="00396791">
      <w:pPr>
        <w:pStyle w:val="ListParagraph"/>
        <w:rPr>
          <w:rFonts w:asciiTheme="majorHAnsi" w:hAnsiTheme="majorHAnsi"/>
          <w:sz w:val="24"/>
          <w:szCs w:val="24"/>
        </w:rPr>
      </w:pPr>
      <w:r w:rsidRPr="00B8052D">
        <w:rPr>
          <w:rFonts w:asciiTheme="majorHAnsi" w:hAnsiTheme="majorHAnsi"/>
          <w:sz w:val="24"/>
          <w:szCs w:val="24"/>
        </w:rPr>
        <w:t>Radian Guaranty Sales Conference 2014 – Keynote Address</w:t>
      </w:r>
      <w:r w:rsidR="00EF3F88">
        <w:rPr>
          <w:rFonts w:asciiTheme="majorHAnsi" w:hAnsiTheme="majorHAnsi"/>
          <w:sz w:val="24"/>
          <w:szCs w:val="24"/>
        </w:rPr>
        <w:t>.</w:t>
      </w:r>
    </w:p>
    <w:p w14:paraId="6496CF92" w14:textId="77777777" w:rsidR="0077265C" w:rsidRDefault="0077265C" w:rsidP="00396791">
      <w:pPr>
        <w:rPr>
          <w:rFonts w:asciiTheme="majorHAnsi" w:hAnsiTheme="majorHAnsi"/>
          <w:sz w:val="24"/>
          <w:szCs w:val="24"/>
          <w:lang w:val="en-GB"/>
        </w:rPr>
      </w:pPr>
    </w:p>
    <w:p w14:paraId="08A5FE71" w14:textId="74E56F2B" w:rsidR="0077265C" w:rsidRPr="0077265C" w:rsidRDefault="0077265C" w:rsidP="00396791">
      <w:pPr>
        <w:ind w:firstLine="720"/>
        <w:rPr>
          <w:rFonts w:asciiTheme="majorHAnsi" w:hAnsiTheme="majorHAnsi"/>
          <w:sz w:val="24"/>
          <w:szCs w:val="24"/>
          <w:lang w:val="en-GB"/>
        </w:rPr>
      </w:pPr>
      <w:r w:rsidRPr="0077265C">
        <w:rPr>
          <w:rFonts w:asciiTheme="majorHAnsi" w:hAnsiTheme="majorHAnsi"/>
          <w:sz w:val="24"/>
          <w:szCs w:val="24"/>
          <w:lang w:val="en-GB"/>
        </w:rPr>
        <w:t>Radian Board of Directors Dinner Keynote on risk management, 2013.</w:t>
      </w:r>
    </w:p>
    <w:p w14:paraId="631EE5D4" w14:textId="77777777" w:rsidR="0077265C" w:rsidRDefault="0077265C" w:rsidP="00396791">
      <w:pPr>
        <w:pStyle w:val="ListParagraph"/>
        <w:rPr>
          <w:rFonts w:asciiTheme="majorHAnsi" w:hAnsiTheme="majorHAnsi"/>
          <w:sz w:val="24"/>
          <w:szCs w:val="24"/>
          <w:lang w:val="en-GB"/>
        </w:rPr>
      </w:pPr>
    </w:p>
    <w:p w14:paraId="3363D95F" w14:textId="47A4BC24" w:rsidR="0077265C" w:rsidRPr="00B8052D" w:rsidRDefault="0077265C" w:rsidP="00396791">
      <w:pPr>
        <w:pStyle w:val="ListParagraph"/>
        <w:rPr>
          <w:rFonts w:asciiTheme="majorHAnsi" w:hAnsiTheme="majorHAnsi"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>Federal Home Loan Bank of Boston Board of Directors Dinner Keynote on risk management, 2012</w:t>
      </w:r>
      <w:r w:rsidR="00EF3F88">
        <w:rPr>
          <w:rFonts w:asciiTheme="majorHAnsi" w:hAnsiTheme="majorHAnsi"/>
          <w:sz w:val="24"/>
          <w:szCs w:val="24"/>
          <w:lang w:val="en-GB"/>
        </w:rPr>
        <w:t>.</w:t>
      </w:r>
    </w:p>
    <w:p w14:paraId="1896E5CF" w14:textId="77777777" w:rsidR="0077265C" w:rsidRDefault="0077265C" w:rsidP="00396791">
      <w:pPr>
        <w:pStyle w:val="ListParagraph"/>
        <w:rPr>
          <w:rFonts w:asciiTheme="majorHAnsi" w:hAnsiTheme="majorHAnsi"/>
          <w:sz w:val="24"/>
          <w:szCs w:val="24"/>
        </w:rPr>
      </w:pPr>
    </w:p>
    <w:p w14:paraId="6FFAF6EF" w14:textId="77777777" w:rsidR="009A68CC" w:rsidRDefault="009A68CC" w:rsidP="00396791">
      <w:pPr>
        <w:pStyle w:val="ListParagraph"/>
        <w:rPr>
          <w:rFonts w:asciiTheme="majorHAnsi" w:hAnsiTheme="majorHAnsi"/>
          <w:sz w:val="24"/>
          <w:szCs w:val="24"/>
        </w:rPr>
      </w:pPr>
      <w:r w:rsidRPr="009A68CC">
        <w:rPr>
          <w:rFonts w:asciiTheme="majorHAnsi" w:hAnsiTheme="majorHAnsi"/>
          <w:i/>
          <w:sz w:val="24"/>
          <w:szCs w:val="24"/>
        </w:rPr>
        <w:t>Removing Barriers to Pathological Risk Behavior: The Art of Effective Communication</w:t>
      </w:r>
      <w:r>
        <w:rPr>
          <w:rFonts w:asciiTheme="majorHAnsi" w:hAnsiTheme="majorHAnsi"/>
          <w:sz w:val="24"/>
          <w:szCs w:val="24"/>
        </w:rPr>
        <w:t>, Association of Federal Enterprise Risk Managers, 2012.</w:t>
      </w:r>
    </w:p>
    <w:p w14:paraId="483C75A6" w14:textId="77777777" w:rsidR="00EF3F88" w:rsidRDefault="00EF3F88" w:rsidP="00396791">
      <w:pPr>
        <w:pStyle w:val="ListParagraph"/>
        <w:rPr>
          <w:rFonts w:asciiTheme="majorHAnsi" w:hAnsiTheme="majorHAnsi"/>
          <w:i/>
          <w:sz w:val="24"/>
          <w:szCs w:val="24"/>
        </w:rPr>
      </w:pPr>
    </w:p>
    <w:p w14:paraId="781CF56D" w14:textId="15D284C7" w:rsidR="009A68CC" w:rsidRPr="00B8052D" w:rsidRDefault="009A68CC" w:rsidP="00396791">
      <w:pPr>
        <w:pStyle w:val="ListParagraph"/>
        <w:rPr>
          <w:rFonts w:asciiTheme="majorHAnsi" w:hAnsiTheme="majorHAnsi"/>
          <w:sz w:val="24"/>
          <w:szCs w:val="24"/>
        </w:rPr>
      </w:pPr>
      <w:r w:rsidRPr="009A68CC">
        <w:rPr>
          <w:rFonts w:asciiTheme="majorHAnsi" w:hAnsiTheme="majorHAnsi"/>
          <w:i/>
          <w:sz w:val="24"/>
          <w:szCs w:val="24"/>
        </w:rPr>
        <w:t>Global Systemic Risk Regulation Since the Financial Crisis: A Framework for Understanding the Effectiveness, Impacts and Harmonization of Macroprudential Regulation</w:t>
      </w:r>
      <w:r>
        <w:rPr>
          <w:rFonts w:asciiTheme="majorHAnsi" w:hAnsiTheme="majorHAnsi"/>
          <w:sz w:val="24"/>
          <w:szCs w:val="24"/>
        </w:rPr>
        <w:t>, Joint Bretton Woods and Deloitte Symposium, 2012.</w:t>
      </w:r>
    </w:p>
    <w:p w14:paraId="0A0047BE" w14:textId="77777777" w:rsidR="00F614CE" w:rsidRPr="00B8052D" w:rsidRDefault="00F614CE" w:rsidP="00396791">
      <w:pPr>
        <w:pStyle w:val="ListParagraph"/>
        <w:rPr>
          <w:rFonts w:asciiTheme="majorHAnsi" w:hAnsiTheme="majorHAnsi"/>
          <w:sz w:val="24"/>
          <w:szCs w:val="24"/>
        </w:rPr>
      </w:pPr>
    </w:p>
    <w:p w14:paraId="47CD024A" w14:textId="527A335A" w:rsidR="00F614CE" w:rsidRPr="00B8052D" w:rsidRDefault="00F614CE" w:rsidP="00396791">
      <w:pPr>
        <w:pStyle w:val="ListParagraph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>“Lessons in Mortgage Risk-taking: Implications for Mortgage Insurance and QRM,” keynote presentation to Radian Guaranty Board of Directors, August 2011</w:t>
      </w:r>
      <w:r w:rsidR="00EF3F88">
        <w:rPr>
          <w:rFonts w:asciiTheme="majorHAnsi" w:hAnsiTheme="majorHAnsi" w:cs="TimesNewRomanPSMT"/>
          <w:sz w:val="24"/>
          <w:szCs w:val="24"/>
        </w:rPr>
        <w:t>.</w:t>
      </w:r>
    </w:p>
    <w:p w14:paraId="1EDDA88D" w14:textId="77777777" w:rsidR="00F614CE" w:rsidRPr="00B8052D" w:rsidRDefault="00F614CE" w:rsidP="00E0479B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</w:rPr>
      </w:pPr>
    </w:p>
    <w:p w14:paraId="3897F0A1" w14:textId="77777777" w:rsidR="00B8052D" w:rsidRPr="00D063E5" w:rsidRDefault="00FB3E8C" w:rsidP="00D063E5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D063E5">
        <w:rPr>
          <w:rFonts w:asciiTheme="majorHAnsi" w:hAnsiTheme="majorHAnsi"/>
          <w:b/>
          <w:bCs/>
          <w:sz w:val="24"/>
          <w:szCs w:val="24"/>
        </w:rPr>
        <w:t>Invited Talks</w:t>
      </w:r>
    </w:p>
    <w:p w14:paraId="37F72E4D" w14:textId="77777777" w:rsidR="00B8052D" w:rsidRPr="00B8052D" w:rsidRDefault="00B8052D" w:rsidP="00B8052D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20B80356" w14:textId="6277494B" w:rsidR="00B8052D" w:rsidRPr="00B8052D" w:rsidRDefault="00B8052D" w:rsidP="00396791">
      <w:pPr>
        <w:pStyle w:val="ListParagraph"/>
        <w:rPr>
          <w:rFonts w:asciiTheme="majorHAnsi" w:hAnsiTheme="majorHAnsi"/>
          <w:sz w:val="24"/>
          <w:szCs w:val="24"/>
          <w:u w:val="single"/>
        </w:rPr>
      </w:pPr>
      <w:r w:rsidRPr="00A91DE9">
        <w:rPr>
          <w:rFonts w:asciiTheme="majorHAnsi" w:hAnsiTheme="majorHAnsi"/>
          <w:i/>
          <w:sz w:val="24"/>
          <w:szCs w:val="24"/>
        </w:rPr>
        <w:t xml:space="preserve">Equifax Fallout: Where Do We Go </w:t>
      </w:r>
      <w:r w:rsidR="00EF3F88">
        <w:rPr>
          <w:rFonts w:asciiTheme="majorHAnsi" w:hAnsiTheme="majorHAnsi"/>
          <w:i/>
          <w:sz w:val="24"/>
          <w:szCs w:val="24"/>
        </w:rPr>
        <w:t>f</w:t>
      </w:r>
      <w:r w:rsidRPr="00A91DE9">
        <w:rPr>
          <w:rFonts w:asciiTheme="majorHAnsi" w:hAnsiTheme="majorHAnsi"/>
          <w:i/>
          <w:sz w:val="24"/>
          <w:szCs w:val="24"/>
        </w:rPr>
        <w:t>rom Here</w:t>
      </w:r>
      <w:r w:rsidRPr="00B8052D">
        <w:rPr>
          <w:rFonts w:asciiTheme="majorHAnsi" w:hAnsiTheme="majorHAnsi"/>
          <w:sz w:val="24"/>
          <w:szCs w:val="24"/>
        </w:rPr>
        <w:t>? Presentation to Women in Housing and Finance</w:t>
      </w:r>
      <w:r w:rsidR="00BF292E">
        <w:rPr>
          <w:rFonts w:asciiTheme="majorHAnsi" w:hAnsiTheme="majorHAnsi"/>
          <w:sz w:val="24"/>
          <w:szCs w:val="24"/>
        </w:rPr>
        <w:t>, 2017</w:t>
      </w:r>
      <w:r w:rsidR="00852CC8">
        <w:rPr>
          <w:rFonts w:asciiTheme="majorHAnsi" w:hAnsiTheme="majorHAnsi"/>
          <w:sz w:val="24"/>
          <w:szCs w:val="24"/>
        </w:rPr>
        <w:t>.</w:t>
      </w:r>
    </w:p>
    <w:p w14:paraId="4E64B908" w14:textId="77777777" w:rsidR="00B8052D" w:rsidRPr="00B8052D" w:rsidRDefault="00B8052D" w:rsidP="00396791">
      <w:pPr>
        <w:rPr>
          <w:rFonts w:asciiTheme="majorHAnsi" w:hAnsiTheme="majorHAnsi"/>
          <w:bCs/>
          <w:sz w:val="24"/>
          <w:szCs w:val="24"/>
        </w:rPr>
      </w:pPr>
    </w:p>
    <w:p w14:paraId="091B49FE" w14:textId="3909C61B" w:rsidR="00B8052D" w:rsidRPr="00B8052D" w:rsidRDefault="00B8052D" w:rsidP="00396791">
      <w:pPr>
        <w:ind w:left="720"/>
        <w:rPr>
          <w:rFonts w:asciiTheme="majorHAnsi" w:hAnsiTheme="majorHAnsi"/>
          <w:sz w:val="24"/>
          <w:szCs w:val="24"/>
        </w:rPr>
      </w:pPr>
      <w:r w:rsidRPr="00A91DE9">
        <w:rPr>
          <w:rFonts w:asciiTheme="majorHAnsi" w:hAnsiTheme="majorHAnsi"/>
          <w:bCs/>
          <w:i/>
          <w:sz w:val="24"/>
          <w:szCs w:val="24"/>
        </w:rPr>
        <w:t>Navigating Risks in Banking and Financial Services,</w:t>
      </w:r>
      <w:r w:rsidRPr="00B8052D">
        <w:rPr>
          <w:rFonts w:asciiTheme="majorHAnsi" w:hAnsiTheme="majorHAnsi"/>
          <w:bCs/>
          <w:sz w:val="24"/>
          <w:szCs w:val="24"/>
        </w:rPr>
        <w:t xml:space="preserve"> presentation requested of Smith’s DAR to NYC finance alumni</w:t>
      </w:r>
      <w:r w:rsidR="00BF292E">
        <w:rPr>
          <w:rFonts w:asciiTheme="majorHAnsi" w:hAnsiTheme="majorHAnsi"/>
          <w:bCs/>
          <w:sz w:val="24"/>
          <w:szCs w:val="24"/>
        </w:rPr>
        <w:t>, 2016</w:t>
      </w:r>
      <w:r w:rsidR="00852CC8">
        <w:rPr>
          <w:rFonts w:asciiTheme="majorHAnsi" w:hAnsiTheme="majorHAnsi"/>
          <w:bCs/>
          <w:sz w:val="24"/>
          <w:szCs w:val="24"/>
        </w:rPr>
        <w:t>.</w:t>
      </w:r>
    </w:p>
    <w:p w14:paraId="76F23FD4" w14:textId="77777777" w:rsidR="00B8052D" w:rsidRPr="00B8052D" w:rsidRDefault="00B8052D" w:rsidP="00396791">
      <w:pPr>
        <w:pStyle w:val="ListParagraph"/>
        <w:rPr>
          <w:rFonts w:asciiTheme="majorHAnsi" w:hAnsiTheme="majorHAnsi"/>
          <w:i/>
          <w:sz w:val="24"/>
          <w:szCs w:val="24"/>
        </w:rPr>
      </w:pPr>
    </w:p>
    <w:p w14:paraId="4687AED0" w14:textId="61B2FC87" w:rsidR="00E0479B" w:rsidRPr="00BF292E" w:rsidRDefault="005F7256" w:rsidP="00396791">
      <w:pPr>
        <w:pStyle w:val="ListParagraph"/>
        <w:rPr>
          <w:rFonts w:asciiTheme="majorHAnsi" w:hAnsiTheme="majorHAnsi"/>
          <w:i/>
          <w:sz w:val="24"/>
          <w:szCs w:val="24"/>
        </w:rPr>
      </w:pPr>
      <w:r w:rsidRPr="00B8052D">
        <w:rPr>
          <w:rFonts w:asciiTheme="majorHAnsi" w:hAnsiTheme="majorHAnsi"/>
          <w:bCs/>
          <w:i/>
          <w:sz w:val="24"/>
          <w:szCs w:val="24"/>
        </w:rPr>
        <w:lastRenderedPageBreak/>
        <w:t>“From Distant Shores to the Chester River:</w:t>
      </w:r>
      <w:r w:rsidR="00EF3F88">
        <w:rPr>
          <w:rFonts w:asciiTheme="majorHAnsi" w:hAnsiTheme="majorHAnsi"/>
          <w:bCs/>
          <w:i/>
          <w:sz w:val="24"/>
          <w:szCs w:val="24"/>
        </w:rPr>
        <w:t xml:space="preserve"> </w:t>
      </w:r>
      <w:r w:rsidRPr="00B8052D">
        <w:rPr>
          <w:rFonts w:asciiTheme="majorHAnsi" w:hAnsiTheme="majorHAnsi"/>
          <w:bCs/>
          <w:i/>
          <w:sz w:val="24"/>
          <w:szCs w:val="24"/>
        </w:rPr>
        <w:t>Unraveling the Implications of Europe’s Debt Crisis for Long-term Economic Prosperity”</w:t>
      </w:r>
      <w:r w:rsidR="00BF292E">
        <w:rPr>
          <w:rFonts w:asciiTheme="majorHAnsi" w:hAnsiTheme="majorHAnsi"/>
          <w:bCs/>
          <w:i/>
          <w:sz w:val="24"/>
          <w:szCs w:val="24"/>
        </w:rPr>
        <w:t xml:space="preserve">, </w:t>
      </w:r>
      <w:r w:rsidRPr="00BF292E">
        <w:rPr>
          <w:rFonts w:asciiTheme="majorHAnsi" w:hAnsiTheme="majorHAnsi"/>
          <w:sz w:val="24"/>
          <w:szCs w:val="24"/>
          <w:lang w:val="en-GB"/>
        </w:rPr>
        <w:t>Washington College Lecture Series Presented by the Alex Brown Student Investment Program 2013</w:t>
      </w:r>
      <w:r w:rsidR="00852CC8">
        <w:rPr>
          <w:rFonts w:asciiTheme="majorHAnsi" w:hAnsiTheme="majorHAnsi"/>
          <w:sz w:val="24"/>
          <w:szCs w:val="24"/>
          <w:lang w:val="en-GB"/>
        </w:rPr>
        <w:t>.</w:t>
      </w:r>
    </w:p>
    <w:p w14:paraId="5E4A32B5" w14:textId="77777777" w:rsidR="0077265C" w:rsidRDefault="0077265C" w:rsidP="00396791">
      <w:pPr>
        <w:pStyle w:val="ListParagraph"/>
        <w:rPr>
          <w:rFonts w:asciiTheme="majorHAnsi" w:hAnsiTheme="majorHAnsi"/>
          <w:sz w:val="24"/>
          <w:szCs w:val="24"/>
          <w:lang w:val="en-GB"/>
        </w:rPr>
      </w:pPr>
    </w:p>
    <w:p w14:paraId="5F883F17" w14:textId="77777777" w:rsidR="0077265C" w:rsidRPr="00B8052D" w:rsidRDefault="0077265C" w:rsidP="00396791">
      <w:pPr>
        <w:pStyle w:val="ListParagraph"/>
        <w:rPr>
          <w:rFonts w:asciiTheme="majorHAnsi" w:hAnsiTheme="majorHAnsi"/>
          <w:sz w:val="24"/>
          <w:szCs w:val="24"/>
        </w:rPr>
      </w:pPr>
      <w:r w:rsidRPr="0077265C">
        <w:rPr>
          <w:rFonts w:asciiTheme="majorHAnsi" w:hAnsiTheme="majorHAnsi"/>
          <w:i/>
          <w:sz w:val="24"/>
          <w:szCs w:val="24"/>
        </w:rPr>
        <w:t>Housing Finance Reform: 2013 and Beyond,</w:t>
      </w:r>
      <w:r>
        <w:rPr>
          <w:rFonts w:asciiTheme="majorHAnsi" w:hAnsiTheme="majorHAnsi"/>
          <w:sz w:val="24"/>
          <w:szCs w:val="24"/>
        </w:rPr>
        <w:t xml:space="preserve"> Global Association of Risk Professionals Annual Conference, 2013.</w:t>
      </w:r>
    </w:p>
    <w:p w14:paraId="08E9406F" w14:textId="77777777" w:rsidR="0077265C" w:rsidRDefault="0077265C" w:rsidP="00396791">
      <w:pPr>
        <w:pStyle w:val="ListParagraph"/>
        <w:rPr>
          <w:rFonts w:asciiTheme="majorHAnsi" w:hAnsiTheme="majorHAnsi"/>
          <w:sz w:val="24"/>
          <w:szCs w:val="24"/>
          <w:lang w:val="en-GB"/>
        </w:rPr>
      </w:pPr>
    </w:p>
    <w:p w14:paraId="77598517" w14:textId="77777777" w:rsidR="009A68CC" w:rsidRDefault="009A68CC" w:rsidP="00396791">
      <w:pPr>
        <w:ind w:left="698"/>
        <w:rPr>
          <w:rFonts w:asciiTheme="majorHAnsi" w:hAnsiTheme="majorHAnsi"/>
          <w:sz w:val="24"/>
          <w:szCs w:val="24"/>
          <w:lang w:val="en-GB"/>
        </w:rPr>
      </w:pPr>
      <w:r w:rsidRPr="009A68CC">
        <w:rPr>
          <w:rFonts w:asciiTheme="majorHAnsi" w:hAnsiTheme="majorHAnsi"/>
          <w:i/>
          <w:sz w:val="24"/>
          <w:szCs w:val="24"/>
          <w:lang w:val="en-GB"/>
        </w:rPr>
        <w:t xml:space="preserve">Is Maturity Transformation the Devil’s Work or Just </w:t>
      </w:r>
      <w:proofErr w:type="spellStart"/>
      <w:proofErr w:type="gramStart"/>
      <w:r w:rsidRPr="009A68CC">
        <w:rPr>
          <w:rFonts w:asciiTheme="majorHAnsi" w:hAnsiTheme="majorHAnsi"/>
          <w:i/>
          <w:sz w:val="24"/>
          <w:szCs w:val="24"/>
          <w:lang w:val="en-GB"/>
        </w:rPr>
        <w:t>Bedeviled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>?,</w:t>
      </w:r>
      <w:proofErr w:type="gramEnd"/>
      <w:r>
        <w:rPr>
          <w:rFonts w:asciiTheme="majorHAnsi" w:hAnsiTheme="majorHAnsi"/>
          <w:sz w:val="24"/>
          <w:szCs w:val="24"/>
          <w:lang w:val="en-GB"/>
        </w:rPr>
        <w:t xml:space="preserve"> Atlanta Federal                          Reserve Bank Conference on Financial Markets, 2012. Personal invitation by the Governor of the Atlanta Federal Reserve Bank.</w:t>
      </w:r>
    </w:p>
    <w:p w14:paraId="4053A7FC" w14:textId="77777777" w:rsidR="009A68CC" w:rsidRDefault="009A68CC" w:rsidP="00396791">
      <w:pPr>
        <w:ind w:left="698"/>
        <w:rPr>
          <w:rFonts w:asciiTheme="majorHAnsi" w:hAnsiTheme="majorHAnsi"/>
          <w:sz w:val="24"/>
          <w:szCs w:val="24"/>
          <w:lang w:val="en-GB"/>
        </w:rPr>
      </w:pPr>
    </w:p>
    <w:p w14:paraId="64604649" w14:textId="77777777" w:rsidR="009A68CC" w:rsidRDefault="009A68CC" w:rsidP="00396791">
      <w:pPr>
        <w:ind w:left="698"/>
        <w:rPr>
          <w:rFonts w:asciiTheme="majorHAnsi" w:hAnsiTheme="majorHAnsi"/>
          <w:sz w:val="24"/>
          <w:szCs w:val="24"/>
          <w:lang w:val="en-GB"/>
        </w:rPr>
      </w:pPr>
      <w:r w:rsidRPr="009A68CC">
        <w:rPr>
          <w:rFonts w:asciiTheme="majorHAnsi" w:hAnsiTheme="majorHAnsi"/>
          <w:i/>
          <w:sz w:val="24"/>
          <w:szCs w:val="24"/>
          <w:lang w:val="en-GB"/>
        </w:rPr>
        <w:t>Risk Governance, Cognitive Bias and Incentives,</w:t>
      </w:r>
      <w:r>
        <w:rPr>
          <w:rFonts w:asciiTheme="majorHAnsi" w:hAnsiTheme="maj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GB"/>
        </w:rPr>
        <w:t>RiskMinds</w:t>
      </w:r>
      <w:proofErr w:type="spellEnd"/>
      <w:r>
        <w:rPr>
          <w:rFonts w:asciiTheme="majorHAnsi" w:hAnsiTheme="majorHAnsi"/>
          <w:sz w:val="24"/>
          <w:szCs w:val="24"/>
          <w:lang w:val="en-GB"/>
        </w:rPr>
        <w:t xml:space="preserve"> Risk Management Conference, 2012.</w:t>
      </w:r>
    </w:p>
    <w:p w14:paraId="5C755342" w14:textId="77777777" w:rsidR="009A68CC" w:rsidRDefault="009A68CC" w:rsidP="00396791">
      <w:pPr>
        <w:ind w:left="698"/>
        <w:rPr>
          <w:rFonts w:asciiTheme="majorHAnsi" w:hAnsiTheme="majorHAnsi"/>
          <w:sz w:val="24"/>
          <w:szCs w:val="24"/>
          <w:lang w:val="en-GB"/>
        </w:rPr>
      </w:pPr>
    </w:p>
    <w:p w14:paraId="1C07E4AB" w14:textId="77777777" w:rsidR="009A68CC" w:rsidRPr="00B8052D" w:rsidRDefault="009A68CC" w:rsidP="00396791">
      <w:pPr>
        <w:ind w:left="698"/>
        <w:rPr>
          <w:rFonts w:asciiTheme="majorHAnsi" w:hAnsiTheme="majorHAnsi"/>
          <w:sz w:val="24"/>
          <w:szCs w:val="24"/>
          <w:lang w:val="en-GB"/>
        </w:rPr>
      </w:pPr>
      <w:r w:rsidRPr="009A68CC">
        <w:rPr>
          <w:rFonts w:asciiTheme="majorHAnsi" w:hAnsiTheme="majorHAnsi"/>
          <w:i/>
          <w:sz w:val="24"/>
          <w:szCs w:val="24"/>
          <w:lang w:val="en-GB"/>
        </w:rPr>
        <w:t>Government-sponsored Enterprises (GSE Reform) and Risk Retention: What’s the Best Solution?</w:t>
      </w:r>
      <w:r>
        <w:rPr>
          <w:rFonts w:asciiTheme="majorHAnsi" w:hAnsiTheme="majorHAnsi"/>
          <w:sz w:val="24"/>
          <w:szCs w:val="24"/>
          <w:lang w:val="en-GB"/>
        </w:rPr>
        <w:t xml:space="preserve"> Global Association of Risk Professionals Annual Conference, 2012.</w:t>
      </w:r>
    </w:p>
    <w:p w14:paraId="75DC37DA" w14:textId="77777777" w:rsidR="00F614CE" w:rsidRPr="00B8052D" w:rsidRDefault="00F614CE" w:rsidP="00396791">
      <w:pPr>
        <w:pStyle w:val="ListParagraph"/>
        <w:rPr>
          <w:rFonts w:asciiTheme="majorHAnsi" w:hAnsiTheme="majorHAnsi"/>
          <w:sz w:val="24"/>
          <w:szCs w:val="24"/>
        </w:rPr>
      </w:pPr>
    </w:p>
    <w:p w14:paraId="1C57AE31" w14:textId="5958BB69" w:rsidR="00F614CE" w:rsidRDefault="005F7256" w:rsidP="00396791">
      <w:pPr>
        <w:pStyle w:val="ListParagraph"/>
        <w:rPr>
          <w:rFonts w:asciiTheme="majorHAnsi" w:hAnsiTheme="majorHAnsi"/>
          <w:sz w:val="24"/>
          <w:szCs w:val="24"/>
        </w:rPr>
      </w:pPr>
      <w:r w:rsidRPr="00B8052D">
        <w:rPr>
          <w:rFonts w:asciiTheme="majorHAnsi" w:hAnsiTheme="majorHAnsi"/>
          <w:sz w:val="24"/>
          <w:szCs w:val="24"/>
        </w:rPr>
        <w:t>“</w:t>
      </w:r>
      <w:r w:rsidRPr="00B8052D">
        <w:rPr>
          <w:rFonts w:asciiTheme="majorHAnsi" w:hAnsiTheme="majorHAnsi"/>
          <w:i/>
          <w:sz w:val="24"/>
          <w:szCs w:val="24"/>
        </w:rPr>
        <w:t>A Crisis of Leadership: Lessons from the Financial Meltdown</w:t>
      </w:r>
      <w:r w:rsidRPr="00B8052D">
        <w:rPr>
          <w:rFonts w:asciiTheme="majorHAnsi" w:hAnsiTheme="majorHAnsi"/>
          <w:sz w:val="24"/>
          <w:szCs w:val="24"/>
        </w:rPr>
        <w:t>”, The J.C. Jones Seminar in American Business Management, Washington College, 2010</w:t>
      </w:r>
      <w:r w:rsidR="00852CC8">
        <w:rPr>
          <w:rFonts w:asciiTheme="majorHAnsi" w:hAnsiTheme="majorHAnsi"/>
          <w:sz w:val="24"/>
          <w:szCs w:val="24"/>
        </w:rPr>
        <w:t>.</w:t>
      </w:r>
    </w:p>
    <w:p w14:paraId="6AC25B59" w14:textId="77777777" w:rsidR="00F614CE" w:rsidRPr="00B8052D" w:rsidRDefault="00F614CE" w:rsidP="00396791">
      <w:pPr>
        <w:pStyle w:val="ListParagraph"/>
        <w:rPr>
          <w:rFonts w:asciiTheme="majorHAnsi" w:hAnsiTheme="majorHAnsi"/>
          <w:sz w:val="24"/>
          <w:szCs w:val="24"/>
        </w:rPr>
      </w:pPr>
    </w:p>
    <w:p w14:paraId="3D376576" w14:textId="77777777" w:rsidR="00067293" w:rsidRPr="00B8052D" w:rsidRDefault="00F614CE" w:rsidP="00396791">
      <w:pPr>
        <w:pStyle w:val="ListParagraph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>“</w:t>
      </w:r>
      <w:r w:rsidRPr="00B8052D">
        <w:rPr>
          <w:rFonts w:asciiTheme="majorHAnsi" w:hAnsiTheme="majorHAnsi" w:cs="TimesNewRomanPSMT"/>
          <w:i/>
          <w:sz w:val="24"/>
          <w:szCs w:val="24"/>
        </w:rPr>
        <w:t>Mortgage Banking Issues – A Banker’s Perspective</w:t>
      </w:r>
      <w:r w:rsidRPr="00B8052D">
        <w:rPr>
          <w:rFonts w:asciiTheme="majorHAnsi" w:hAnsiTheme="majorHAnsi" w:cs="TimesNewRomanPSMT"/>
          <w:sz w:val="24"/>
          <w:szCs w:val="24"/>
        </w:rPr>
        <w:t>,” presentation to OCC National Bank Examiners Conference, 2008.</w:t>
      </w:r>
    </w:p>
    <w:p w14:paraId="113C2A93" w14:textId="77777777" w:rsidR="00067293" w:rsidRPr="00B8052D" w:rsidRDefault="00067293" w:rsidP="00396791">
      <w:pPr>
        <w:pStyle w:val="ListParagraph"/>
        <w:rPr>
          <w:rFonts w:asciiTheme="majorHAnsi" w:hAnsiTheme="majorHAnsi" w:cs="TimesNewRomanPSMT"/>
          <w:sz w:val="24"/>
          <w:szCs w:val="24"/>
        </w:rPr>
      </w:pPr>
    </w:p>
    <w:p w14:paraId="4C3A008D" w14:textId="77777777" w:rsidR="00067293" w:rsidRPr="00B8052D" w:rsidRDefault="00067293" w:rsidP="00396791">
      <w:pPr>
        <w:pStyle w:val="ListParagraph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>“</w:t>
      </w:r>
      <w:r w:rsidRPr="00B8052D">
        <w:rPr>
          <w:rFonts w:asciiTheme="majorHAnsi" w:hAnsiTheme="majorHAnsi" w:cs="TimesNewRomanPSMT"/>
          <w:i/>
          <w:sz w:val="24"/>
          <w:szCs w:val="24"/>
        </w:rPr>
        <w:t>Integrated Risk Management: An Emerging Paradigm for Balance Sheet Management,</w:t>
      </w:r>
      <w:r w:rsidRPr="00B8052D">
        <w:rPr>
          <w:rFonts w:asciiTheme="majorHAnsi" w:hAnsiTheme="majorHAnsi" w:cs="TimesNewRomanPSMT"/>
          <w:sz w:val="24"/>
          <w:szCs w:val="24"/>
        </w:rPr>
        <w:t>” presentation to FFIEC Capital Markets Specialists Symposium, 2008.</w:t>
      </w:r>
    </w:p>
    <w:p w14:paraId="6833EF12" w14:textId="77777777" w:rsidR="00067293" w:rsidRPr="00B8052D" w:rsidRDefault="00067293" w:rsidP="00396791">
      <w:pPr>
        <w:pStyle w:val="ListParagraph"/>
        <w:rPr>
          <w:rFonts w:asciiTheme="majorHAnsi" w:hAnsiTheme="majorHAnsi" w:cs="TimesNewRomanPSMT"/>
          <w:sz w:val="24"/>
          <w:szCs w:val="24"/>
        </w:rPr>
      </w:pPr>
    </w:p>
    <w:p w14:paraId="2B677B2E" w14:textId="77777777" w:rsidR="00067293" w:rsidRDefault="00067293" w:rsidP="00396791">
      <w:pPr>
        <w:pStyle w:val="ListParagraph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>“</w:t>
      </w:r>
      <w:r w:rsidRPr="00B8052D">
        <w:rPr>
          <w:rFonts w:asciiTheme="majorHAnsi" w:hAnsiTheme="majorHAnsi" w:cs="TimesNewRomanPSMT"/>
          <w:i/>
          <w:sz w:val="24"/>
          <w:szCs w:val="24"/>
        </w:rPr>
        <w:t>Best Practices in Managing Credit and Interest Rate Risk in a Residential Mortgage Portfolio</w:t>
      </w:r>
      <w:r w:rsidRPr="00B8052D">
        <w:rPr>
          <w:rFonts w:asciiTheme="majorHAnsi" w:hAnsiTheme="majorHAnsi" w:cs="TimesNewRomanPSMT"/>
          <w:sz w:val="24"/>
          <w:szCs w:val="24"/>
        </w:rPr>
        <w:t>,” presentation to OCC National Bank Examiners Conference, 2005.</w:t>
      </w:r>
    </w:p>
    <w:p w14:paraId="3BED4DEE" w14:textId="77777777" w:rsidR="00BF292E" w:rsidRPr="00B8052D" w:rsidRDefault="00BF292E" w:rsidP="00396791">
      <w:pPr>
        <w:pStyle w:val="ListParagraph"/>
        <w:rPr>
          <w:rFonts w:asciiTheme="majorHAnsi" w:hAnsiTheme="majorHAnsi" w:cs="TimesNewRomanPSMT"/>
          <w:sz w:val="24"/>
          <w:szCs w:val="24"/>
        </w:rPr>
      </w:pPr>
    </w:p>
    <w:p w14:paraId="19D38279" w14:textId="77777777" w:rsidR="00067293" w:rsidRPr="00B8052D" w:rsidRDefault="00067293" w:rsidP="00396791">
      <w:pPr>
        <w:pStyle w:val="ListParagraph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>“</w:t>
      </w:r>
      <w:r w:rsidRPr="00B8052D">
        <w:rPr>
          <w:rFonts w:asciiTheme="majorHAnsi" w:hAnsiTheme="majorHAnsi" w:cs="TimesNewRomanPSMT"/>
          <w:i/>
          <w:sz w:val="24"/>
          <w:szCs w:val="24"/>
        </w:rPr>
        <w:t>Automated Underwriting of FHA Mortgages: Forging a Strategic Partnership Between Freddie Mac and FHA</w:t>
      </w:r>
      <w:r w:rsidRPr="00B8052D">
        <w:rPr>
          <w:rFonts w:asciiTheme="majorHAnsi" w:hAnsiTheme="majorHAnsi" w:cs="TimesNewRomanPSMT"/>
          <w:sz w:val="24"/>
          <w:szCs w:val="24"/>
        </w:rPr>
        <w:t>,” presentation at the Credit Scoring Control V Conference, University of Edinburgh Management School, Edinburgh, Scotland, 1997.</w:t>
      </w:r>
    </w:p>
    <w:p w14:paraId="62411BB8" w14:textId="77777777" w:rsidR="00067293" w:rsidRPr="00B8052D" w:rsidRDefault="00067293" w:rsidP="00396791">
      <w:pPr>
        <w:pStyle w:val="ListParagraph"/>
        <w:rPr>
          <w:rFonts w:asciiTheme="majorHAnsi" w:hAnsiTheme="majorHAnsi" w:cs="TimesNewRomanPSMT"/>
          <w:sz w:val="24"/>
          <w:szCs w:val="24"/>
        </w:rPr>
      </w:pPr>
    </w:p>
    <w:p w14:paraId="76D151C9" w14:textId="77777777" w:rsidR="00067293" w:rsidRPr="00A91DE9" w:rsidRDefault="00067293" w:rsidP="00396791">
      <w:pPr>
        <w:pStyle w:val="ListParagraph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>“</w:t>
      </w:r>
      <w:r w:rsidRPr="00B8052D">
        <w:rPr>
          <w:rFonts w:asciiTheme="majorHAnsi" w:hAnsiTheme="majorHAnsi" w:cs="TimesNewRomanPSMT"/>
          <w:i/>
          <w:sz w:val="24"/>
          <w:szCs w:val="24"/>
        </w:rPr>
        <w:t>An Empirical Comparison of Linear Probability and Logit Models of Mortgage Default</w:t>
      </w:r>
      <w:r w:rsidRPr="00B8052D">
        <w:rPr>
          <w:rFonts w:asciiTheme="majorHAnsi" w:hAnsiTheme="majorHAnsi" w:cs="TimesNewRomanPSMT"/>
          <w:sz w:val="24"/>
          <w:szCs w:val="24"/>
        </w:rPr>
        <w:t>,” presentation at the Credit Scoring Control V Conference, University of Edinburgh Management School, Edinburgh, Scotland, 1997.</w:t>
      </w:r>
    </w:p>
    <w:p w14:paraId="573B7418" w14:textId="77777777" w:rsidR="00F614CE" w:rsidRPr="00B8052D" w:rsidRDefault="00F614CE" w:rsidP="005F7256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18355146" w14:textId="77777777" w:rsidR="00FB3E8C" w:rsidRPr="00B8052D" w:rsidRDefault="00FB3E8C" w:rsidP="00FB3E8C">
      <w:pPr>
        <w:rPr>
          <w:rFonts w:asciiTheme="majorHAnsi" w:hAnsiTheme="majorHAnsi"/>
          <w:sz w:val="24"/>
          <w:szCs w:val="24"/>
          <w:u w:val="single"/>
        </w:rPr>
      </w:pPr>
    </w:p>
    <w:p w14:paraId="6C93D4E4" w14:textId="77777777" w:rsidR="00A612E6" w:rsidRPr="00B8052D" w:rsidRDefault="00A612E6" w:rsidP="00B66CFD">
      <w:pPr>
        <w:pStyle w:val="ListParagraph"/>
        <w:ind w:left="1080"/>
        <w:rPr>
          <w:rFonts w:asciiTheme="majorHAnsi" w:hAnsiTheme="majorHAnsi"/>
          <w:sz w:val="24"/>
          <w:szCs w:val="24"/>
        </w:rPr>
      </w:pPr>
    </w:p>
    <w:p w14:paraId="5BDB343B" w14:textId="77777777" w:rsidR="009345A8" w:rsidRPr="00396791" w:rsidRDefault="00F81C45" w:rsidP="00396791">
      <w:pPr>
        <w:rPr>
          <w:rFonts w:asciiTheme="majorHAnsi" w:hAnsiTheme="majorHAnsi" w:cs="TimesNewRomanPSMT"/>
          <w:b/>
          <w:bCs/>
          <w:iCs/>
          <w:sz w:val="24"/>
          <w:szCs w:val="24"/>
        </w:rPr>
      </w:pPr>
      <w:r w:rsidRPr="00396791">
        <w:rPr>
          <w:rFonts w:asciiTheme="majorHAnsi" w:hAnsiTheme="majorHAnsi"/>
          <w:b/>
          <w:bCs/>
          <w:sz w:val="24"/>
          <w:szCs w:val="24"/>
        </w:rPr>
        <w:t>Non-Refereed Journal Articles</w:t>
      </w:r>
    </w:p>
    <w:p w14:paraId="6A84F2B0" w14:textId="77777777" w:rsidR="009345A8" w:rsidRPr="009345A8" w:rsidRDefault="009345A8" w:rsidP="009345A8">
      <w:pPr>
        <w:pStyle w:val="ListParagraph"/>
        <w:ind w:left="1080"/>
        <w:rPr>
          <w:rFonts w:asciiTheme="majorHAnsi" w:hAnsiTheme="majorHAnsi" w:cs="TimesNewRomanPSMT"/>
          <w:iCs/>
          <w:sz w:val="24"/>
          <w:szCs w:val="24"/>
        </w:rPr>
      </w:pPr>
    </w:p>
    <w:p w14:paraId="18DB8943" w14:textId="7A7FC6AD" w:rsidR="00E03DFD" w:rsidRDefault="00E03DFD" w:rsidP="00396791">
      <w:pPr>
        <w:pStyle w:val="ListParagraph"/>
        <w:rPr>
          <w:rFonts w:asciiTheme="majorHAnsi" w:hAnsiTheme="majorHAnsi" w:cs="TimesNewRomanPSMT"/>
          <w:iCs/>
          <w:sz w:val="24"/>
          <w:szCs w:val="24"/>
        </w:rPr>
      </w:pPr>
      <w:r>
        <w:rPr>
          <w:rFonts w:asciiTheme="majorHAnsi" w:hAnsiTheme="majorHAnsi" w:cs="TimesNewRomanPSMT"/>
          <w:iCs/>
          <w:sz w:val="24"/>
          <w:szCs w:val="24"/>
        </w:rPr>
        <w:t>A Comparative Risk &amp; Financial Analysis of Batch and Continuous Pharmaceutical Manufacturing Technologies: Implications for Strengthening U.S. Competitiveness and Supply Chains, CERSI White Paper, September 2021.</w:t>
      </w:r>
    </w:p>
    <w:p w14:paraId="254A97B5" w14:textId="77777777" w:rsidR="00E03DFD" w:rsidRDefault="00E03DFD" w:rsidP="00396791">
      <w:pPr>
        <w:pStyle w:val="ListParagraph"/>
        <w:rPr>
          <w:rFonts w:asciiTheme="majorHAnsi" w:hAnsiTheme="majorHAnsi" w:cs="TimesNewRomanPSMT"/>
          <w:iCs/>
          <w:sz w:val="24"/>
          <w:szCs w:val="24"/>
        </w:rPr>
      </w:pPr>
    </w:p>
    <w:p w14:paraId="53C61589" w14:textId="6A2497AC" w:rsidR="009345A8" w:rsidRDefault="009345A8" w:rsidP="00396791">
      <w:pPr>
        <w:pStyle w:val="ListParagraph"/>
        <w:rPr>
          <w:rFonts w:asciiTheme="majorHAnsi" w:hAnsiTheme="majorHAnsi" w:cs="TimesNewRomanPSMT"/>
          <w:iCs/>
          <w:sz w:val="24"/>
          <w:szCs w:val="24"/>
        </w:rPr>
      </w:pPr>
      <w:r>
        <w:rPr>
          <w:rFonts w:asciiTheme="majorHAnsi" w:hAnsiTheme="majorHAnsi" w:cs="TimesNewRomanPSMT"/>
          <w:iCs/>
          <w:sz w:val="24"/>
          <w:szCs w:val="24"/>
        </w:rPr>
        <w:lastRenderedPageBreak/>
        <w:t>The Connection Between Hurricanes and Mortgage Default Risk, Global Association of Risk Professionals White Paper, September 2020.</w:t>
      </w:r>
    </w:p>
    <w:p w14:paraId="358E33E1" w14:textId="77777777" w:rsidR="009345A8" w:rsidRPr="009345A8" w:rsidRDefault="009345A8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iCs/>
          <w:sz w:val="24"/>
          <w:szCs w:val="24"/>
        </w:rPr>
      </w:pPr>
    </w:p>
    <w:p w14:paraId="15012647" w14:textId="74509DE3" w:rsidR="00F614CE" w:rsidRPr="00B8052D" w:rsidRDefault="00F614CE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i/>
          <w:sz w:val="24"/>
          <w:szCs w:val="24"/>
        </w:rPr>
        <w:t xml:space="preserve">Managing Mortgage Product Development Risk, </w:t>
      </w:r>
      <w:r w:rsidRPr="00B8052D">
        <w:rPr>
          <w:rFonts w:asciiTheme="majorHAnsi" w:hAnsiTheme="majorHAnsi" w:cs="TimesNewRomanPSMT"/>
          <w:sz w:val="24"/>
          <w:szCs w:val="24"/>
        </w:rPr>
        <w:t>Mortgage Bankers Association, Research in Housing America Special Report, September 2017.</w:t>
      </w:r>
    </w:p>
    <w:p w14:paraId="68261E99" w14:textId="77777777" w:rsidR="00F614CE" w:rsidRPr="00B8052D" w:rsidRDefault="00F614CE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i/>
          <w:sz w:val="24"/>
          <w:szCs w:val="24"/>
        </w:rPr>
      </w:pPr>
    </w:p>
    <w:p w14:paraId="1970C540" w14:textId="77777777" w:rsidR="00F614CE" w:rsidRPr="00B8052D" w:rsidRDefault="00F614CE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i/>
          <w:sz w:val="24"/>
          <w:szCs w:val="24"/>
        </w:rPr>
        <w:t>Fostering a Culture of Risk Management in Your Organization</w:t>
      </w:r>
      <w:r w:rsidRPr="00B8052D">
        <w:rPr>
          <w:rFonts w:asciiTheme="majorHAnsi" w:hAnsiTheme="majorHAnsi" w:cs="TimesNewRomanPSMT"/>
          <w:sz w:val="24"/>
          <w:szCs w:val="24"/>
        </w:rPr>
        <w:t>, Mortgage Compliance Magazine, Fall 2016.</w:t>
      </w:r>
    </w:p>
    <w:p w14:paraId="164BF0C9" w14:textId="77777777" w:rsidR="00F614CE" w:rsidRPr="00B8052D" w:rsidRDefault="00F614CE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7A60FBE6" w14:textId="77777777" w:rsidR="00F614CE" w:rsidRDefault="00F614CE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>Global Systemic Risk Regulation Since the Financial Crisis: A Framework for Understanding the Effectiveness, Impacts and Harmonization of Macroprudential Regulation, White paper, Joint Bretton Woods and Deloitte Symposium, 2012.</w:t>
      </w:r>
    </w:p>
    <w:p w14:paraId="75AC9F30" w14:textId="77777777" w:rsidR="0077265C" w:rsidRDefault="0077265C" w:rsidP="00F614CE">
      <w:pPr>
        <w:pStyle w:val="ListParagraph"/>
        <w:widowControl w:val="0"/>
        <w:autoSpaceDE w:val="0"/>
        <w:autoSpaceDN w:val="0"/>
        <w:adjustRightInd w:val="0"/>
        <w:ind w:left="1080"/>
        <w:rPr>
          <w:rFonts w:asciiTheme="majorHAnsi" w:hAnsiTheme="majorHAnsi" w:cs="TimesNewRomanPSMT"/>
          <w:sz w:val="24"/>
          <w:szCs w:val="24"/>
        </w:rPr>
      </w:pPr>
    </w:p>
    <w:p w14:paraId="647CAE0D" w14:textId="384A9183" w:rsidR="00F614CE" w:rsidRPr="00745552" w:rsidRDefault="0077265C" w:rsidP="00745552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Forging Best Practices in Risk Management, co-authored, Office of Financial Research Working Paper No. 2-2012</w:t>
      </w:r>
    </w:p>
    <w:p w14:paraId="78CEEDD1" w14:textId="77777777" w:rsidR="00CC6268" w:rsidRDefault="00CC6268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1E2E1CA4" w14:textId="2598FA81" w:rsidR="00F614CE" w:rsidRPr="00B8052D" w:rsidRDefault="00F614CE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 xml:space="preserve">“Incentives, Behaviors and Cognitive Bias in the Risk Function”, Global Association of Risk Professionals </w:t>
      </w:r>
      <w:r w:rsidRPr="00B8052D">
        <w:rPr>
          <w:rFonts w:asciiTheme="majorHAnsi" w:hAnsiTheme="majorHAnsi" w:cs="TimesNewRomanPSMT"/>
          <w:i/>
          <w:iCs/>
          <w:sz w:val="24"/>
          <w:szCs w:val="24"/>
        </w:rPr>
        <w:t>Risk Professional Magazine</w:t>
      </w:r>
      <w:r w:rsidRPr="00B8052D">
        <w:rPr>
          <w:rFonts w:asciiTheme="majorHAnsi" w:hAnsiTheme="majorHAnsi" w:cs="TimesNewRomanPSMT"/>
          <w:sz w:val="24"/>
          <w:szCs w:val="24"/>
        </w:rPr>
        <w:t>, April 2012.</w:t>
      </w:r>
    </w:p>
    <w:p w14:paraId="6A0D72FA" w14:textId="77777777" w:rsidR="00F614CE" w:rsidRPr="00B8052D" w:rsidRDefault="00F614CE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2100D1E4" w14:textId="77777777" w:rsidR="00067293" w:rsidRDefault="00F614CE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>Frameworks for Systemic Risk Monitoring, Pew Foundation Report, Conference Co-Organizer, 2011.</w:t>
      </w:r>
    </w:p>
    <w:p w14:paraId="3780CEFA" w14:textId="77777777" w:rsidR="0077265C" w:rsidRDefault="0077265C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63911AAB" w14:textId="77777777" w:rsidR="0077265C" w:rsidRDefault="0077265C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Procyclical versus Countercyclical Policy Effects on Financial Markets, Financial Services Roundtable, Cluff Fund Trustees White Paper, 2011.</w:t>
      </w:r>
    </w:p>
    <w:p w14:paraId="50B907C2" w14:textId="77777777" w:rsidR="0077265C" w:rsidRDefault="0077265C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656B7E0F" w14:textId="77777777" w:rsidR="0077265C" w:rsidRDefault="0077265C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Assessing the Impact of Proposed Fed Debit Interchange Fees, Financial Services Roundtable, Cluff Fund Trustees White Paper, 2010.</w:t>
      </w:r>
    </w:p>
    <w:p w14:paraId="67CFE475" w14:textId="77777777" w:rsidR="0077265C" w:rsidRDefault="0077265C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2D7C42A2" w14:textId="00980E95" w:rsidR="0077265C" w:rsidRDefault="0077265C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>
        <w:rPr>
          <w:rFonts w:asciiTheme="majorHAnsi" w:hAnsiTheme="majorHAnsi" w:cs="TimesNewRomanPSMT"/>
          <w:sz w:val="24"/>
          <w:szCs w:val="24"/>
        </w:rPr>
        <w:t>The Impact of Brokered Deposits on Bank Failure, Financial Services Roundtable, Cluff Fund Trustees, 2010.</w:t>
      </w:r>
    </w:p>
    <w:p w14:paraId="647417E8" w14:textId="54C61ECF" w:rsidR="009345A8" w:rsidRDefault="009345A8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1C4EF18C" w14:textId="370B2009" w:rsidR="009345A8" w:rsidRPr="00852CC8" w:rsidRDefault="009345A8" w:rsidP="00396791">
      <w:pPr>
        <w:pStyle w:val="ListParagraph"/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852CC8">
        <w:rPr>
          <w:rFonts w:cs="Times New Roman"/>
          <w:i/>
          <w:iCs/>
          <w:sz w:val="24"/>
          <w:szCs w:val="24"/>
        </w:rPr>
        <w:t>Anatomy of Risk Management Practices in the Mortgage Industry: Lessons for the Future</w:t>
      </w:r>
      <w:r w:rsidRPr="00852CC8">
        <w:rPr>
          <w:rFonts w:cs="Times New Roman"/>
          <w:sz w:val="24"/>
          <w:szCs w:val="24"/>
        </w:rPr>
        <w:t>, Mortgage Bankers Association, Research in Housing America Special Report, September 2010.</w:t>
      </w:r>
    </w:p>
    <w:p w14:paraId="13150A6F" w14:textId="77777777" w:rsidR="00067293" w:rsidRPr="009345A8" w:rsidRDefault="00067293" w:rsidP="00396791">
      <w:pPr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</w:p>
    <w:p w14:paraId="293E060A" w14:textId="77777777" w:rsidR="00067293" w:rsidRPr="00B8052D" w:rsidRDefault="00067293" w:rsidP="00396791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NewRomanPSMT"/>
          <w:sz w:val="24"/>
          <w:szCs w:val="24"/>
        </w:rPr>
      </w:pPr>
      <w:r w:rsidRPr="00B8052D">
        <w:rPr>
          <w:rFonts w:asciiTheme="majorHAnsi" w:hAnsiTheme="majorHAnsi" w:cs="TimesNewRomanPSMT"/>
          <w:sz w:val="24"/>
          <w:szCs w:val="24"/>
        </w:rPr>
        <w:t>“</w:t>
      </w:r>
      <w:r w:rsidRPr="00B8052D">
        <w:rPr>
          <w:rFonts w:asciiTheme="majorHAnsi" w:hAnsiTheme="majorHAnsi" w:cs="TimesNewRomanPSMT"/>
          <w:i/>
          <w:sz w:val="24"/>
          <w:szCs w:val="24"/>
        </w:rPr>
        <w:t>Reasons for Caution in Statistical Testing for Redlining</w:t>
      </w:r>
      <w:r w:rsidRPr="00B8052D">
        <w:rPr>
          <w:rFonts w:asciiTheme="majorHAnsi" w:hAnsiTheme="majorHAnsi" w:cs="TimesNewRomanPSMT"/>
          <w:sz w:val="24"/>
          <w:szCs w:val="24"/>
        </w:rPr>
        <w:t xml:space="preserve">,” </w:t>
      </w:r>
      <w:r w:rsidRPr="00B8052D">
        <w:rPr>
          <w:rFonts w:asciiTheme="majorHAnsi" w:hAnsiTheme="majorHAnsi" w:cs="TimesNewRomanPSMT"/>
          <w:sz w:val="24"/>
          <w:szCs w:val="24"/>
          <w:u w:val="single"/>
        </w:rPr>
        <w:t>Fair Lending Analysis, A Compendium of Essays on the Use of Statistics</w:t>
      </w:r>
      <w:r w:rsidRPr="00B8052D">
        <w:rPr>
          <w:rFonts w:asciiTheme="majorHAnsi" w:hAnsiTheme="majorHAnsi" w:cs="TimesNewRomanPSMT"/>
          <w:sz w:val="24"/>
          <w:szCs w:val="24"/>
        </w:rPr>
        <w:t>, American Bankers Association, 1995.</w:t>
      </w:r>
    </w:p>
    <w:p w14:paraId="7CABD4AE" w14:textId="77777777" w:rsidR="00D36F44" w:rsidRDefault="00D36F44" w:rsidP="00D36F44">
      <w:pPr>
        <w:rPr>
          <w:rFonts w:asciiTheme="majorHAnsi" w:hAnsiTheme="majorHAnsi"/>
          <w:b/>
          <w:bCs/>
          <w:sz w:val="24"/>
          <w:szCs w:val="24"/>
        </w:rPr>
      </w:pPr>
    </w:p>
    <w:p w14:paraId="6EBC3FC9" w14:textId="77777777" w:rsidR="00852CC8" w:rsidRDefault="00852CC8" w:rsidP="00396791">
      <w:pPr>
        <w:rPr>
          <w:rFonts w:asciiTheme="majorHAnsi" w:hAnsiTheme="majorHAnsi"/>
          <w:b/>
          <w:bCs/>
          <w:sz w:val="24"/>
          <w:szCs w:val="24"/>
        </w:rPr>
      </w:pPr>
    </w:p>
    <w:p w14:paraId="15788ACE" w14:textId="77777777" w:rsidR="00745552" w:rsidRDefault="00745552" w:rsidP="00396791">
      <w:pPr>
        <w:rPr>
          <w:rFonts w:asciiTheme="majorHAnsi" w:hAnsiTheme="majorHAnsi"/>
          <w:b/>
          <w:bCs/>
          <w:sz w:val="24"/>
          <w:szCs w:val="24"/>
        </w:rPr>
      </w:pPr>
    </w:p>
    <w:p w14:paraId="3B0ECC8A" w14:textId="77777777" w:rsidR="00852CC8" w:rsidRDefault="00852CC8" w:rsidP="00852CC8">
      <w:pPr>
        <w:rPr>
          <w:rFonts w:asciiTheme="majorHAnsi" w:hAnsiTheme="majorHAnsi"/>
          <w:b/>
          <w:bCs/>
          <w:sz w:val="24"/>
          <w:szCs w:val="24"/>
        </w:rPr>
      </w:pPr>
    </w:p>
    <w:p w14:paraId="3D4E4D4C" w14:textId="77777777" w:rsidR="00896E9F" w:rsidRPr="00B8052D" w:rsidRDefault="00896E9F" w:rsidP="00EE67B5">
      <w:pPr>
        <w:rPr>
          <w:rFonts w:asciiTheme="majorHAnsi" w:hAnsiTheme="majorHAnsi"/>
          <w:sz w:val="24"/>
          <w:szCs w:val="24"/>
          <w:u w:val="single"/>
        </w:rPr>
      </w:pPr>
    </w:p>
    <w:p w14:paraId="6AB92CE7" w14:textId="77777777" w:rsidR="00121E67" w:rsidRPr="00B8052D" w:rsidRDefault="00121E67" w:rsidP="00121E67">
      <w:pPr>
        <w:pStyle w:val="ListParagraph"/>
        <w:ind w:left="1080"/>
        <w:rPr>
          <w:rFonts w:asciiTheme="majorHAnsi" w:hAnsiTheme="majorHAnsi"/>
          <w:sz w:val="24"/>
          <w:szCs w:val="24"/>
          <w:u w:val="single"/>
        </w:rPr>
      </w:pPr>
    </w:p>
    <w:p w14:paraId="687AE93E" w14:textId="4C06E6C2" w:rsidR="00121E67" w:rsidRDefault="00121E67" w:rsidP="00D36F44">
      <w:pPr>
        <w:pStyle w:val="ListParagraph"/>
        <w:rPr>
          <w:rFonts w:asciiTheme="majorHAnsi" w:hAnsiTheme="majorHAnsi"/>
          <w:sz w:val="24"/>
          <w:szCs w:val="24"/>
        </w:rPr>
      </w:pPr>
    </w:p>
    <w:p w14:paraId="5BE450F9" w14:textId="77777777" w:rsidR="00745552" w:rsidRPr="00B8052D" w:rsidRDefault="00745552" w:rsidP="00D36F44">
      <w:pPr>
        <w:pStyle w:val="ListParagraph"/>
        <w:rPr>
          <w:rFonts w:asciiTheme="majorHAnsi" w:hAnsiTheme="majorHAnsi"/>
          <w:sz w:val="24"/>
          <w:szCs w:val="24"/>
        </w:rPr>
      </w:pPr>
    </w:p>
    <w:sectPr w:rsidR="00745552" w:rsidRPr="00B8052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C5F2" w14:textId="77777777" w:rsidR="009B29CC" w:rsidRDefault="009B29CC" w:rsidP="00CB35D7">
      <w:r>
        <w:separator/>
      </w:r>
    </w:p>
  </w:endnote>
  <w:endnote w:type="continuationSeparator" w:id="0">
    <w:p w14:paraId="02D2F6E5" w14:textId="77777777" w:rsidR="009B29CC" w:rsidRDefault="009B29CC" w:rsidP="00CB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763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35836" w14:textId="77777777" w:rsidR="00EE6318" w:rsidRDefault="00EE63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2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BC006" w14:textId="77777777" w:rsidR="00EE6318" w:rsidRDefault="00EE6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14D17" w14:textId="77777777" w:rsidR="009B29CC" w:rsidRDefault="009B29CC" w:rsidP="00CB35D7">
      <w:r>
        <w:separator/>
      </w:r>
    </w:p>
  </w:footnote>
  <w:footnote w:type="continuationSeparator" w:id="0">
    <w:p w14:paraId="6875F502" w14:textId="77777777" w:rsidR="009B29CC" w:rsidRDefault="009B29CC" w:rsidP="00CB3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597"/>
    <w:multiLevelType w:val="multilevel"/>
    <w:tmpl w:val="5E9E3F1C"/>
    <w:numStyleLink w:val="CVSections"/>
  </w:abstractNum>
  <w:abstractNum w:abstractNumId="1" w15:restartNumberingAfterBreak="0">
    <w:nsid w:val="09C90D72"/>
    <w:multiLevelType w:val="multilevel"/>
    <w:tmpl w:val="DEF26756"/>
    <w:lvl w:ilvl="0">
      <w:start w:val="11"/>
      <w:numFmt w:val="decimal"/>
      <w:lvlText w:val="%1."/>
      <w:lvlJc w:val="left"/>
      <w:pPr>
        <w:ind w:left="615" w:hanging="615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166E206F"/>
    <w:multiLevelType w:val="hybridMultilevel"/>
    <w:tmpl w:val="D0FA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46B1"/>
    <w:multiLevelType w:val="hybridMultilevel"/>
    <w:tmpl w:val="600AEA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6F603E"/>
    <w:multiLevelType w:val="multilevel"/>
    <w:tmpl w:val="5E9E3F1C"/>
    <w:styleLink w:val="CVSections"/>
    <w:lvl w:ilvl="0">
      <w:start w:val="1"/>
      <w:numFmt w:val="upperRoman"/>
      <w:lvlText w:val="%1."/>
      <w:lvlJc w:val="left"/>
      <w:pPr>
        <w:ind w:left="1080" w:hanging="1080"/>
      </w:pPr>
      <w:rPr>
        <w:rFonts w:asciiTheme="minorHAnsi" w:hAnsiTheme="minorHAnsi" w:hint="default"/>
        <w:b/>
        <w:sz w:val="22"/>
      </w:rPr>
    </w:lvl>
    <w:lvl w:ilvl="1">
      <w:start w:val="1"/>
      <w:numFmt w:val="upperLetter"/>
      <w:lvlText w:val="%1.%2."/>
      <w:lvlJc w:val="left"/>
      <w:pPr>
        <w:ind w:left="1080" w:hanging="108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80" w:hanging="10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80" w:hanging="10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256F473F"/>
    <w:multiLevelType w:val="hybridMultilevel"/>
    <w:tmpl w:val="F2ECD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83D96"/>
    <w:multiLevelType w:val="multilevel"/>
    <w:tmpl w:val="E49A9A06"/>
    <w:lvl w:ilvl="0">
      <w:start w:val="11"/>
      <w:numFmt w:val="decimal"/>
      <w:lvlText w:val="%1."/>
      <w:lvlJc w:val="left"/>
      <w:pPr>
        <w:ind w:left="615" w:hanging="615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  <w:u w:val="none"/>
      </w:rPr>
    </w:lvl>
    <w:lvl w:ilvl="2">
      <w:start w:val="6"/>
      <w:numFmt w:val="decimal"/>
      <w:lvlText w:val="%1.%2.%3.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u w:val="none"/>
      </w:rPr>
    </w:lvl>
  </w:abstractNum>
  <w:abstractNum w:abstractNumId="7" w15:restartNumberingAfterBreak="0">
    <w:nsid w:val="26F36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0848A1"/>
    <w:multiLevelType w:val="hybridMultilevel"/>
    <w:tmpl w:val="125E2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2496C"/>
    <w:multiLevelType w:val="multilevel"/>
    <w:tmpl w:val="F83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6F1FE1"/>
    <w:multiLevelType w:val="hybridMultilevel"/>
    <w:tmpl w:val="58CCE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28F5"/>
    <w:multiLevelType w:val="multilevel"/>
    <w:tmpl w:val="EF703EB0"/>
    <w:lvl w:ilvl="0">
      <w:start w:val="11"/>
      <w:numFmt w:val="decimal"/>
      <w:lvlText w:val="%1."/>
      <w:lvlJc w:val="left"/>
      <w:pPr>
        <w:ind w:left="615" w:hanging="615"/>
      </w:pPr>
      <w:rPr>
        <w:rFonts w:hint="default"/>
        <w:u w:val="none"/>
      </w:rPr>
    </w:lvl>
    <w:lvl w:ilvl="1">
      <w:start w:val="4"/>
      <w:numFmt w:val="decimal"/>
      <w:lvlText w:val="%1.%2."/>
      <w:lvlJc w:val="left"/>
      <w:pPr>
        <w:ind w:left="1027" w:hanging="720"/>
      </w:pPr>
      <w:rPr>
        <w:rFonts w:hint="default"/>
        <w:u w:val="none"/>
      </w:rPr>
    </w:lvl>
    <w:lvl w:ilvl="2">
      <w:start w:val="6"/>
      <w:numFmt w:val="decimal"/>
      <w:lvlText w:val="%1.%2.%3."/>
      <w:lvlJc w:val="left"/>
      <w:pPr>
        <w:ind w:left="133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00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30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97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8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4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256" w:hanging="1800"/>
      </w:pPr>
      <w:rPr>
        <w:rFonts w:hint="default"/>
        <w:u w:val="none"/>
      </w:rPr>
    </w:lvl>
  </w:abstractNum>
  <w:abstractNum w:abstractNumId="12" w15:restartNumberingAfterBreak="0">
    <w:nsid w:val="40F06665"/>
    <w:multiLevelType w:val="hybridMultilevel"/>
    <w:tmpl w:val="1E782D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B733C9"/>
    <w:multiLevelType w:val="hybridMultilevel"/>
    <w:tmpl w:val="B93E2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540502"/>
    <w:multiLevelType w:val="hybridMultilevel"/>
    <w:tmpl w:val="87AE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F4944"/>
    <w:multiLevelType w:val="hybridMultilevel"/>
    <w:tmpl w:val="F43E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22C6B"/>
    <w:multiLevelType w:val="multilevel"/>
    <w:tmpl w:val="5E9E3F1C"/>
    <w:numStyleLink w:val="CVSections"/>
  </w:abstractNum>
  <w:abstractNum w:abstractNumId="17" w15:restartNumberingAfterBreak="0">
    <w:nsid w:val="4DAF083C"/>
    <w:multiLevelType w:val="hybridMultilevel"/>
    <w:tmpl w:val="1EBA3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FA312D"/>
    <w:multiLevelType w:val="hybridMultilevel"/>
    <w:tmpl w:val="9A2889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D5778"/>
    <w:multiLevelType w:val="hybridMultilevel"/>
    <w:tmpl w:val="A37A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17DDA"/>
    <w:multiLevelType w:val="hybridMultilevel"/>
    <w:tmpl w:val="6E88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670E9"/>
    <w:multiLevelType w:val="hybridMultilevel"/>
    <w:tmpl w:val="C5CA62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571A15"/>
    <w:multiLevelType w:val="hybridMultilevel"/>
    <w:tmpl w:val="87AEC390"/>
    <w:lvl w:ilvl="0" w:tplc="B7C231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0746C"/>
    <w:multiLevelType w:val="hybridMultilevel"/>
    <w:tmpl w:val="385A4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D43B0"/>
    <w:multiLevelType w:val="hybridMultilevel"/>
    <w:tmpl w:val="052A5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12396F"/>
    <w:multiLevelType w:val="hybridMultilevel"/>
    <w:tmpl w:val="372888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90A8C"/>
    <w:multiLevelType w:val="hybridMultilevel"/>
    <w:tmpl w:val="B6F8F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872399"/>
    <w:multiLevelType w:val="multilevel"/>
    <w:tmpl w:val="5E9E3F1C"/>
    <w:numStyleLink w:val="CVSections"/>
  </w:abstractNum>
  <w:abstractNum w:abstractNumId="28" w15:restartNumberingAfterBreak="0">
    <w:nsid w:val="7A4E4E56"/>
    <w:multiLevelType w:val="hybridMultilevel"/>
    <w:tmpl w:val="DF8C7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5840">
    <w:abstractNumId w:val="4"/>
  </w:num>
  <w:num w:numId="2" w16cid:durableId="2105612842">
    <w:abstractNumId w:val="27"/>
  </w:num>
  <w:num w:numId="3" w16cid:durableId="1840660216">
    <w:abstractNumId w:val="16"/>
  </w:num>
  <w:num w:numId="4" w16cid:durableId="1470787297">
    <w:abstractNumId w:val="22"/>
  </w:num>
  <w:num w:numId="5" w16cid:durableId="1266620118">
    <w:abstractNumId w:val="7"/>
  </w:num>
  <w:num w:numId="6" w16cid:durableId="1202938397">
    <w:abstractNumId w:val="0"/>
  </w:num>
  <w:num w:numId="7" w16cid:durableId="1486431350">
    <w:abstractNumId w:val="6"/>
  </w:num>
  <w:num w:numId="8" w16cid:durableId="1185360947">
    <w:abstractNumId w:val="11"/>
  </w:num>
  <w:num w:numId="9" w16cid:durableId="720404304">
    <w:abstractNumId w:val="1"/>
  </w:num>
  <w:num w:numId="10" w16cid:durableId="1946307154">
    <w:abstractNumId w:val="26"/>
  </w:num>
  <w:num w:numId="11" w16cid:durableId="1850440838">
    <w:abstractNumId w:val="13"/>
  </w:num>
  <w:num w:numId="12" w16cid:durableId="1007829155">
    <w:abstractNumId w:val="17"/>
  </w:num>
  <w:num w:numId="13" w16cid:durableId="1442259897">
    <w:abstractNumId w:val="14"/>
  </w:num>
  <w:num w:numId="14" w16cid:durableId="1841769941">
    <w:abstractNumId w:val="24"/>
  </w:num>
  <w:num w:numId="15" w16cid:durableId="1643001937">
    <w:abstractNumId w:val="15"/>
  </w:num>
  <w:num w:numId="16" w16cid:durableId="1700164319">
    <w:abstractNumId w:val="19"/>
  </w:num>
  <w:num w:numId="17" w16cid:durableId="1098599204">
    <w:abstractNumId w:val="28"/>
  </w:num>
  <w:num w:numId="18" w16cid:durableId="729108925">
    <w:abstractNumId w:val="9"/>
  </w:num>
  <w:num w:numId="19" w16cid:durableId="406267190">
    <w:abstractNumId w:val="12"/>
  </w:num>
  <w:num w:numId="20" w16cid:durableId="812991176">
    <w:abstractNumId w:val="2"/>
  </w:num>
  <w:num w:numId="21" w16cid:durableId="21908030">
    <w:abstractNumId w:val="3"/>
  </w:num>
  <w:num w:numId="22" w16cid:durableId="1625577997">
    <w:abstractNumId w:val="20"/>
  </w:num>
  <w:num w:numId="23" w16cid:durableId="295373300">
    <w:abstractNumId w:val="23"/>
  </w:num>
  <w:num w:numId="24" w16cid:durableId="1205944343">
    <w:abstractNumId w:val="25"/>
  </w:num>
  <w:num w:numId="25" w16cid:durableId="1792896266">
    <w:abstractNumId w:val="21"/>
  </w:num>
  <w:num w:numId="26" w16cid:durableId="1645157094">
    <w:abstractNumId w:val="8"/>
  </w:num>
  <w:num w:numId="27" w16cid:durableId="1652832460">
    <w:abstractNumId w:val="10"/>
  </w:num>
  <w:num w:numId="28" w16cid:durableId="733553891">
    <w:abstractNumId w:val="18"/>
  </w:num>
  <w:num w:numId="29" w16cid:durableId="724523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384"/>
    <w:rsid w:val="00033FB9"/>
    <w:rsid w:val="00067293"/>
    <w:rsid w:val="000E4995"/>
    <w:rsid w:val="0011124C"/>
    <w:rsid w:val="00121E67"/>
    <w:rsid w:val="0012341D"/>
    <w:rsid w:val="00191C14"/>
    <w:rsid w:val="0019317B"/>
    <w:rsid w:val="001A4AEC"/>
    <w:rsid w:val="001A7F40"/>
    <w:rsid w:val="001C2A6D"/>
    <w:rsid w:val="001D486A"/>
    <w:rsid w:val="00216483"/>
    <w:rsid w:val="00225014"/>
    <w:rsid w:val="00254E23"/>
    <w:rsid w:val="002A1529"/>
    <w:rsid w:val="002D3119"/>
    <w:rsid w:val="002E7E56"/>
    <w:rsid w:val="003159F0"/>
    <w:rsid w:val="003267E2"/>
    <w:rsid w:val="003402B4"/>
    <w:rsid w:val="0034591D"/>
    <w:rsid w:val="00372F84"/>
    <w:rsid w:val="00396791"/>
    <w:rsid w:val="003A68BA"/>
    <w:rsid w:val="003C71FD"/>
    <w:rsid w:val="00435125"/>
    <w:rsid w:val="004542A4"/>
    <w:rsid w:val="00485505"/>
    <w:rsid w:val="004949CE"/>
    <w:rsid w:val="004A6BDA"/>
    <w:rsid w:val="00534898"/>
    <w:rsid w:val="00534CF4"/>
    <w:rsid w:val="00543AEF"/>
    <w:rsid w:val="00565750"/>
    <w:rsid w:val="005E0679"/>
    <w:rsid w:val="005E1384"/>
    <w:rsid w:val="005E6141"/>
    <w:rsid w:val="005F7256"/>
    <w:rsid w:val="00615A17"/>
    <w:rsid w:val="00617C8E"/>
    <w:rsid w:val="00623C5F"/>
    <w:rsid w:val="00627A01"/>
    <w:rsid w:val="0065560B"/>
    <w:rsid w:val="00666F54"/>
    <w:rsid w:val="00670E64"/>
    <w:rsid w:val="006D3AC4"/>
    <w:rsid w:val="00703479"/>
    <w:rsid w:val="00717EFB"/>
    <w:rsid w:val="00745552"/>
    <w:rsid w:val="0077265C"/>
    <w:rsid w:val="007B51FD"/>
    <w:rsid w:val="007B52C4"/>
    <w:rsid w:val="007B71C0"/>
    <w:rsid w:val="008236D3"/>
    <w:rsid w:val="008271F8"/>
    <w:rsid w:val="00852CC8"/>
    <w:rsid w:val="00866758"/>
    <w:rsid w:val="00896E9F"/>
    <w:rsid w:val="008B4AC0"/>
    <w:rsid w:val="008B7704"/>
    <w:rsid w:val="008D07BB"/>
    <w:rsid w:val="008D6A46"/>
    <w:rsid w:val="009345A8"/>
    <w:rsid w:val="00973600"/>
    <w:rsid w:val="00986351"/>
    <w:rsid w:val="009A3E33"/>
    <w:rsid w:val="009A68CC"/>
    <w:rsid w:val="009B29CC"/>
    <w:rsid w:val="009C0C0A"/>
    <w:rsid w:val="009E4496"/>
    <w:rsid w:val="00A06A53"/>
    <w:rsid w:val="00A2267D"/>
    <w:rsid w:val="00A612E6"/>
    <w:rsid w:val="00A80003"/>
    <w:rsid w:val="00A91DE9"/>
    <w:rsid w:val="00AA5184"/>
    <w:rsid w:val="00AB4073"/>
    <w:rsid w:val="00AC6BEE"/>
    <w:rsid w:val="00AE46C3"/>
    <w:rsid w:val="00B627CC"/>
    <w:rsid w:val="00B66CFD"/>
    <w:rsid w:val="00B8052D"/>
    <w:rsid w:val="00B9679A"/>
    <w:rsid w:val="00BB6049"/>
    <w:rsid w:val="00BB6EA8"/>
    <w:rsid w:val="00BD48C7"/>
    <w:rsid w:val="00BF292E"/>
    <w:rsid w:val="00C3572F"/>
    <w:rsid w:val="00C445F2"/>
    <w:rsid w:val="00C7606B"/>
    <w:rsid w:val="00CB35D7"/>
    <w:rsid w:val="00CC6268"/>
    <w:rsid w:val="00CD4F89"/>
    <w:rsid w:val="00CE0D64"/>
    <w:rsid w:val="00CF5189"/>
    <w:rsid w:val="00D063E5"/>
    <w:rsid w:val="00D36F44"/>
    <w:rsid w:val="00D71BA0"/>
    <w:rsid w:val="00DD0A0B"/>
    <w:rsid w:val="00DF3663"/>
    <w:rsid w:val="00E03DFD"/>
    <w:rsid w:val="00E0479B"/>
    <w:rsid w:val="00E06F24"/>
    <w:rsid w:val="00E22E2D"/>
    <w:rsid w:val="00E538A2"/>
    <w:rsid w:val="00E602A3"/>
    <w:rsid w:val="00E6265E"/>
    <w:rsid w:val="00EC7A29"/>
    <w:rsid w:val="00EE6318"/>
    <w:rsid w:val="00EE67B5"/>
    <w:rsid w:val="00EF3F88"/>
    <w:rsid w:val="00F041F2"/>
    <w:rsid w:val="00F17B94"/>
    <w:rsid w:val="00F553E9"/>
    <w:rsid w:val="00F614CE"/>
    <w:rsid w:val="00F61DCD"/>
    <w:rsid w:val="00F81C45"/>
    <w:rsid w:val="00F82833"/>
    <w:rsid w:val="00FB3E8C"/>
    <w:rsid w:val="00FB6D71"/>
    <w:rsid w:val="00FD1197"/>
    <w:rsid w:val="00FE0ED0"/>
    <w:rsid w:val="00FF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ABF2A"/>
  <w15:docId w15:val="{2E33C180-40C5-4500-9CFD-F0FF73E0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A6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6A46"/>
    <w:pPr>
      <w:keepNext/>
      <w:keepLines/>
      <w:pBdr>
        <w:bottom w:val="single" w:sz="8" w:space="1" w:color="auto"/>
      </w:pBdr>
      <w:spacing w:before="24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A46"/>
    <w:pPr>
      <w:keepNext/>
      <w:keepLines/>
      <w:pBdr>
        <w:bottom w:val="single" w:sz="2" w:space="1" w:color="auto"/>
      </w:pBdr>
      <w:spacing w:before="40"/>
      <w:outlineLvl w:val="1"/>
    </w:pPr>
    <w:rPr>
      <w:rFonts w:asciiTheme="majorHAnsi" w:eastAsiaTheme="majorEastAsia" w:hAnsiTheme="majorHAnsi" w:cstheme="majorBidi"/>
      <w:caps/>
      <w:spacing w:val="30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2E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A4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6A46"/>
    <w:rPr>
      <w:rFonts w:asciiTheme="majorHAnsi" w:eastAsiaTheme="majorEastAsia" w:hAnsiTheme="majorHAnsi" w:cstheme="majorBidi"/>
      <w:caps/>
      <w:spacing w:val="30"/>
      <w:sz w:val="26"/>
      <w:szCs w:val="26"/>
    </w:rPr>
  </w:style>
  <w:style w:type="numbering" w:customStyle="1" w:styleId="CVSections">
    <w:name w:val="CV Sections"/>
    <w:uiPriority w:val="99"/>
    <w:rsid w:val="00CF518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E1384"/>
    <w:pPr>
      <w:ind w:left="720"/>
      <w:contextualSpacing/>
    </w:pPr>
  </w:style>
  <w:style w:type="paragraph" w:styleId="NoSpacing">
    <w:name w:val="No Spacing"/>
    <w:uiPriority w:val="1"/>
    <w:qFormat/>
    <w:rsid w:val="001C2A6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8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CB3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35D7"/>
  </w:style>
  <w:style w:type="paragraph" w:styleId="Footer">
    <w:name w:val="footer"/>
    <w:basedOn w:val="Normal"/>
    <w:link w:val="FooterChar"/>
    <w:uiPriority w:val="99"/>
    <w:unhideWhenUsed/>
    <w:rsid w:val="00CB3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5D7"/>
  </w:style>
  <w:style w:type="character" w:styleId="Strong">
    <w:name w:val="Strong"/>
    <w:basedOn w:val="DefaultParagraphFont"/>
    <w:uiPriority w:val="22"/>
    <w:qFormat/>
    <w:rsid w:val="00B66CFD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2E6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A612E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663"/>
    <w:rPr>
      <w:color w:val="605E5C"/>
      <w:shd w:val="clear" w:color="auto" w:fill="E1DFDD"/>
    </w:rPr>
  </w:style>
  <w:style w:type="paragraph" w:customStyle="1" w:styleId="Default">
    <w:name w:val="Default"/>
    <w:rsid w:val="00615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s.justia.com/patent/84476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s12247-021-09612-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79887-7AD4-4DDC-B7D1-433E4F31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3050</Words>
  <Characters>16653</Characters>
  <Application>Microsoft Office Word</Application>
  <DocSecurity>0</DocSecurity>
  <Lines>282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Follman</dc:creator>
  <cp:keywords/>
  <dc:description/>
  <cp:lastModifiedBy>Cliff Rossi</cp:lastModifiedBy>
  <cp:revision>2</cp:revision>
  <cp:lastPrinted>2025-12-27T16:14:00Z</cp:lastPrinted>
  <dcterms:created xsi:type="dcterms:W3CDTF">2026-01-24T12:03:00Z</dcterms:created>
  <dcterms:modified xsi:type="dcterms:W3CDTF">2026-01-24T12:03:00Z</dcterms:modified>
</cp:coreProperties>
</file>